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87R9352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legislature shall establish a joint interim committee to study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joint interim committee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members of the Senate Natural Resources and Economic Development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members of the Senate Water, Agriculture and Rural Affairs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members of the House Natural Resources Committee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members of the House Energy Resources Committee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lieutenant governor or the speaker of the house of representatives, as applicable, may not appoint more than three members from a committee described by Subsection (b) of this section to the joint interim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lieutenant governor and the speaker of the house of representatives shall jointly designate a chair or, alternatively, designate two co-chairs from among the committee membership.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committee may adopt rules as necessary to carry out the committee's duties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Commission on Environmental Quality, the Railroad Commission of Texas, and the Texas Water Development Board shall provide administrative support and resources to the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Not later than December 1, 2022, the committee shall prepare and deliver a report to the governor and the legislature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an overview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lignite industry in this state and final reclamation practices of that industry;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large sand and gravel producers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identifies surface mine pits and quarries that could potentially be used as water storage reservoirs and provides the following information for each location: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volume of water that could be stored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predicted water quality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predicted effect on watersheds surrounding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sustainability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reclamation status of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information needed to assess ownership issues at the location, including any constraint that the ownership of the property may impose on the use of the property as a reservoir;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comparison of the estimated cost of converting the location into a reservoir and the estimated cost of filling in and regrading the location to the approximate original contour;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contains a map of the locations identified under Subdivision (2)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provides a review of the regulatory issues and constraints associated with converting surface mine pits and quarries into reservoirs;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summarizes the effect that a statewide initiative to convert surface mine pits and quarries into reservoirs would have on state water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committee is abolished and this Act expires January 10,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