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et al.</w:t>
      </w:r>
      <w:r xml:space="preserve">
        <w:tab wTab="150" tlc="none" cTlc="0"/>
      </w:r>
      <w:r>
        <w:t xml:space="preserve">H.B.</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appropriate incentives as determined through the qualified allocation plan to reward applicants who agree to:</w:t>
      </w:r>
    </w:p>
    <w:p w:rsidR="003F3435" w:rsidRDefault="0032493E">
      <w:pPr>
        <w:spacing w:line="480" w:lineRule="auto"/>
        <w:ind w:firstLine="1440"/>
        <w:jc w:val="both"/>
      </w:pPr>
      <w:r>
        <w:t xml:space="preserve">(1)</w:t>
      </w:r>
      <w:r xml:space="preserve">
        <w:t> </w:t>
      </w:r>
      <w:r xml:space="preserve">
        <w:t> </w:t>
      </w:r>
      <w:r>
        <w:t xml:space="preserve">equip the development that is the basis of the application with energy saving devices that meet the standards established by the state energy conservation office</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provide to a qualified entity, in a land use restriction agreement in accordance with Section 2306.6726, a right of first refusal to purchase the development at the minimum price provided in, and in accordance with the requirements of, Section 42(i)(7), Internal Revenue Code of 1986 (26 U.S.C. Section 42(i)(7))[</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locate the development in a census tract in which there are no other existing developments supported by housing tax credits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