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Patterson, Vo</w:t>
      </w:r>
      <w:r xml:space="preserve">
        <w:tab wTab="150" tlc="none" cTlc="0"/>
      </w:r>
      <w:r>
        <w:t xml:space="preserve">H.B.</w:t>
      </w:r>
      <w:r xml:space="preserve">
        <w:t> </w:t>
      </w:r>
      <w:r>
        <w:t xml:space="preserve">No.</w:t>
      </w:r>
      <w:r xml:space="preserve">
        <w:t> </w:t>
      </w:r>
      <w:r>
        <w:t xml:space="preserve">2036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Huffman)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2021; May</w:t>
      </w:r>
      <w:r xml:space="preserve">
        <w:t> </w:t>
      </w:r>
      <w:r>
        <w:t xml:space="preserve">10,</w:t>
      </w:r>
      <w:r xml:space="preserve">
        <w:t> </w:t>
      </w:r>
      <w:r>
        <w:t xml:space="preserve">2021, read first time and referred to Committee on Criminal Justice; May</w:t>
      </w:r>
      <w:r xml:space="preserve">
        <w:t> </w:t>
      </w:r>
      <w:r>
        <w:t xml:space="preserve">22,</w:t>
      </w:r>
      <w:r xml:space="preserve">
        <w:t> </w:t>
      </w:r>
      <w:r>
        <w:t xml:space="preserve">2021, reported favorably by the following vote:</w:t>
      </w:r>
      <w:r>
        <w:t xml:space="preserve"> </w:t>
      </w:r>
      <w:r>
        <w:t xml:space="preserve"> </w:t>
      </w:r>
      <w:r>
        <w:t xml:space="preserve">Yeas 7, Nays 0; May</w:t>
      </w:r>
      <w:r xml:space="preserve">
        <w:t> </w:t>
      </w:r>
      <w:r>
        <w:t xml:space="preserve">22,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definition of close relative of a deceased victim for purposes of certain laws relating to the release of an inmate on parole or to mandatory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508.117(g)(1),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"Close relative of a deceased victim" means a person who</w:t>
      </w:r>
      <w:r>
        <w:rPr>
          <w:u w:val="single"/>
        </w:rPr>
        <w:t xml:space="preserve">, regardless of whether the victim's death was related to the offense committed,</w:t>
      </w:r>
      <w:r>
        <w:t xml:space="preserve"> was:</w:t>
      </w:r>
    </w:p>
    <w:p w:rsidR="003F3435" w:rsidRDefault="0032493E">
      <w:pPr>
        <w:spacing w:line="480" w:lineRule="auto"/>
        <w:ind w:firstLine="2160"/>
        <w:jc w:val="both"/>
      </w:pPr>
      <w:r>
        <w:t xml:space="preserve">(A)</w:t>
      </w:r>
      <w:r xml:space="preserve">
        <w:t> </w:t>
      </w:r>
      <w:r xml:space="preserve">
        <w:t> </w:t>
      </w:r>
      <w:r>
        <w:t xml:space="preserve">the spouse of the victim at the time of the victim's death;</w:t>
      </w:r>
    </w:p>
    <w:p w:rsidR="003F3435" w:rsidRDefault="0032493E">
      <w:pPr>
        <w:spacing w:line="480" w:lineRule="auto"/>
        <w:ind w:firstLine="2160"/>
        <w:jc w:val="both"/>
      </w:pPr>
      <w:r>
        <w:t xml:space="preserve">(B)</w:t>
      </w:r>
      <w:r xml:space="preserve">
        <w:t> </w:t>
      </w:r>
      <w:r xml:space="preserve">
        <w:t> </w:t>
      </w:r>
      <w:r>
        <w:t xml:space="preserve">a parent of the deceased victim;</w:t>
      </w:r>
    </w:p>
    <w:p w:rsidR="003F3435" w:rsidRDefault="0032493E">
      <w:pPr>
        <w:spacing w:line="480" w:lineRule="auto"/>
        <w:ind w:firstLine="2160"/>
        <w:jc w:val="both"/>
      </w:pPr>
      <w:r>
        <w:t xml:space="preserve">(C)</w:t>
      </w:r>
      <w:r xml:space="preserve">
        <w:t> </w:t>
      </w:r>
      <w:r xml:space="preserve">
        <w:t> </w:t>
      </w:r>
      <w:r>
        <w:t xml:space="preserve">an adult brother, sister, or child of the deceased victim; or</w:t>
      </w:r>
    </w:p>
    <w:p w:rsidR="003F3435" w:rsidRDefault="0032493E">
      <w:pPr>
        <w:spacing w:line="480" w:lineRule="auto"/>
        <w:ind w:firstLine="2160"/>
        <w:jc w:val="both"/>
      </w:pPr>
      <w:r>
        <w:t xml:space="preserve">(D)</w:t>
      </w:r>
      <w:r xml:space="preserve">
        <w:t> </w:t>
      </w:r>
      <w:r xml:space="preserve">
        <w:t> </w:t>
      </w:r>
      <w:r>
        <w:t xml:space="preserve">the nearest relative of the deceased victim by consanguinity, if the persons described by Paragraphs (A) through (C) are deceased or are incapacitated due to physical or mental illness or infirmity.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