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H.B.</w:t>
      </w:r>
      <w:r xml:space="preserve">
        <w:t> </w:t>
      </w:r>
      <w:r>
        <w:t xml:space="preserve">No.</w:t>
      </w:r>
      <w:r xml:space="preserve">
        <w:t> </w:t>
      </w:r>
      <w:r>
        <w:t xml:space="preserve">2037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franchise tax credit for research and development of energy storage technologies.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171, Tax Code, is amended by adding Subchapter V to read as follows:</w:t>
      </w:r>
    </w:p>
    <w:p w:rsidR="003F3435" w:rsidRDefault="0032493E">
      <w:pPr>
        <w:spacing w:line="480" w:lineRule="auto"/>
        <w:jc w:val="center"/>
      </w:pPr>
      <w:r>
        <w:rPr>
          <w:u w:val="single"/>
        </w:rPr>
        <w:t xml:space="preserve">SUBCHAPTER V. TAX CREDIT FOR RESEARCH AND DEVELOPMENT OF ENERGY STORAGE TECHNOLOGY</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171.901.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"Base amount" and "qualified research expenses" have the meanings assigned by Section 41, Internal Revenue Code, except that all payments and expenses must be for research conducted in this state that relates to the development of energy storage technologies.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"Energy storage technology" means a technology for storing generated electricity for later transmission and distribution.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171.902.</w:t>
      </w:r>
      <w:r>
        <w:rPr>
          <w:u w:val="single"/>
        </w:rPr>
        <w:t xml:space="preserve"> </w:t>
      </w:r>
      <w:r>
        <w:rPr>
          <w:u w:val="single"/>
        </w:rPr>
        <w:t xml:space="preserve"> </w:t>
      </w:r>
      <w:r>
        <w:rPr>
          <w:u w:val="single"/>
        </w:rPr>
        <w:t xml:space="preserve">ENTITLEMENT TO CREDIT.  A taxable entity is entitled to a credit in the amount and under the conditions and limitations provided by this subchapter against the tax imposed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171.903.</w:t>
      </w:r>
      <w:r>
        <w:rPr>
          <w:u w:val="single"/>
        </w:rPr>
        <w:t xml:space="preserve"> </w:t>
      </w:r>
      <w:r>
        <w:rPr>
          <w:u w:val="single"/>
        </w:rPr>
        <w:t xml:space="preserve"> </w:t>
      </w:r>
      <w:r>
        <w:rPr>
          <w:u w:val="single"/>
        </w:rPr>
        <w:t xml:space="preserve">AMOUNT; LIMITATIONS.  (a) </w:t>
      </w:r>
      <w:r>
        <w:rPr>
          <w:u w:val="single"/>
        </w:rPr>
        <w:t xml:space="preserve"> The credit for a report is equal to the sum of the excess of qualified research expenses incurred in this state during the accounting period on which the tax is based over the base amount for that research.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purposes of this section, "gross receipts" as used in Section 41, Internal Revenue Code, means gross receipts as determined under Section 171.103.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total credit claimed under this subchapter for a report may not exceed the amount of franchise tax due after any other applicable credits.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171.904.</w:t>
      </w:r>
      <w:r>
        <w:rPr>
          <w:u w:val="single"/>
        </w:rPr>
        <w:t xml:space="preserve"> </w:t>
      </w:r>
      <w:r>
        <w:rPr>
          <w:u w:val="single"/>
        </w:rPr>
        <w:t xml:space="preserve"> </w:t>
      </w:r>
      <w:r>
        <w:rPr>
          <w:u w:val="single"/>
        </w:rPr>
        <w:t xml:space="preserve">CARRYFORWARD.  (a)  If a taxable entity is eligible for a credit that exceeds the limitation under Section 171.903(c), the taxable entity may carry the unused credit forward for not more than 20 consecutive reports.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carryforward is considered the remaining portion of a credit that cannot be claimed in the current year because of the limitation under Section 171.903(c). A carryforward is added to the next year's credit in determining whether the limitation is met for that year. A credit carryforward from a previous report is considered to be used before the current year credit.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171.905.</w:t>
      </w:r>
      <w:r>
        <w:rPr>
          <w:u w:val="single"/>
        </w:rPr>
        <w:t xml:space="preserve"> </w:t>
      </w:r>
      <w:r>
        <w:rPr>
          <w:u w:val="single"/>
        </w:rPr>
        <w:t xml:space="preserve"> </w:t>
      </w:r>
      <w:r>
        <w:rPr>
          <w:u w:val="single"/>
        </w:rPr>
        <w:t xml:space="preserve">ASSIGNMENT PROHIBITED.  A taxable entity may not convey, assign, or transfer the credit allowed under this subchapter to another entity unless all of the assets of the taxable entity are conveyed, assigned, or transferred.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171.906.</w:t>
      </w:r>
      <w:r>
        <w:rPr>
          <w:u w:val="single"/>
        </w:rPr>
        <w:t xml:space="preserve"> </w:t>
      </w:r>
      <w:r>
        <w:rPr>
          <w:u w:val="single"/>
        </w:rPr>
        <w:t xml:space="preserve"> </w:t>
      </w:r>
      <w:r>
        <w:rPr>
          <w:u w:val="single"/>
        </w:rPr>
        <w:t xml:space="preserve">RULES.  The comptroller shall adopt rules necessary to implement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 report originally due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