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87R1441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2041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appraisal reports in connection with the use of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21.0111, Property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entity seeking to acquire real property through the use of eminent domain shall, not later than the third business day before the date of a special commissioner's hearing, disclose to the property owner any and all current and existing appraisal reports produced or acquired by the entity relating specifically to the owner's property and used in determining the entity's opinion of value, if an appraisal report is to be used at the hearing.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condemnation proceeding commenced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