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2058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4,</w:t>
      </w:r>
      <w:r xml:space="preserve">
        <w:t> </w:t>
      </w:r>
      <w:r>
        <w:t xml:space="preserve">2021, read first time and referred to Committee on Health &amp; Human Services; May</w:t>
      </w:r>
      <w:r xml:space="preserve">
        <w:t> </w:t>
      </w:r>
      <w:r>
        <w:t xml:space="preserve">18,</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age-appropriate normalcy activities for children in the managing conservatorship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  </w:t>
      </w:r>
      <w:r>
        <w:rPr>
          <w:u w:val="single"/>
        </w:rPr>
        <w:t xml:space="preserve">(a)</w:t>
      </w:r>
      <w:r>
        <w:t xml:space="preserve"> </w:t>
      </w:r>
      <w:r>
        <w:t xml:space="preserve"> </w:t>
      </w:r>
      <w:r>
        <w:t xml:space="preserve">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w:t>
      </w:r>
    </w:p>
    <w:p w:rsidR="003F3435" w:rsidRDefault="0032493E">
      <w:pPr>
        <w:spacing w:line="480" w:lineRule="auto"/>
        <w:ind w:firstLine="1440"/>
        <w:jc w:val="both"/>
      </w:pPr>
      <w:r>
        <w:t xml:space="preserve">(3)</w:t>
      </w:r>
      <w:r xml:space="preserve">
        <w:t> </w:t>
      </w:r>
      <w:r xml:space="preserve">
        <w:t> </w:t>
      </w:r>
      <w:r>
        <w:t xml:space="preserve">for a child placed with a relative of the child or other designated caregiver, review the efforts of the department to inform the caregiver of:</w:t>
      </w:r>
    </w:p>
    <w:p w:rsidR="003F3435" w:rsidRDefault="0032493E">
      <w:pPr>
        <w:spacing w:line="480" w:lineRule="auto"/>
        <w:ind w:firstLine="2160"/>
        <w:jc w:val="both"/>
      </w:pPr>
      <w:r>
        <w:t xml:space="preserve">(A)</w:t>
      </w:r>
      <w:r xml:space="preserve">
        <w:t> </w:t>
      </w:r>
      <w:r xml:space="preserve">
        <w:t> </w:t>
      </w:r>
      <w:r>
        <w:t xml:space="preserve">the option to become verified by a licensed child-placing agency to operate an agency foster home, if applicable; and</w:t>
      </w:r>
    </w:p>
    <w:p w:rsidR="003F3435" w:rsidRDefault="0032493E">
      <w:pPr>
        <w:spacing w:line="480" w:lineRule="auto"/>
        <w:ind w:firstLine="2160"/>
        <w:jc w:val="both"/>
      </w:pPr>
      <w:r>
        <w:t xml:space="preserve">(B)</w:t>
      </w:r>
      <w:r xml:space="preserve">
        <w:t> </w:t>
      </w:r>
      <w:r xml:space="preserve">
        <w:t> </w:t>
      </w:r>
      <w:r>
        <w:t xml:space="preserve">the permanency care assistance program under Subchapter K, Chapter 264; and</w:t>
      </w:r>
    </w:p>
    <w:p w:rsidR="003F3435" w:rsidRDefault="0032493E">
      <w:pPr>
        <w:spacing w:line="480" w:lineRule="auto"/>
        <w:ind w:firstLine="1440"/>
        <w:jc w:val="both"/>
      </w:pPr>
      <w:r>
        <w:t xml:space="preserve">(4)</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whether the child has been provided the opportunity, in a developmentally appropriate manner, to identify any adult, particularly an adult residing in the child's community, who could be a relative or designated caregiver for the child;</w:t>
      </w:r>
    </w:p>
    <w:p w:rsidR="003F3435" w:rsidRDefault="0032493E">
      <w:pPr>
        <w:spacing w:line="480" w:lineRule="auto"/>
        <w:ind w:firstLine="2160"/>
        <w:jc w:val="both"/>
      </w:pPr>
      <w:r>
        <w:t xml:space="preserve">(C)</w:t>
      </w:r>
      <w:r xml:space="preserve">
        <w:t> </w:t>
      </w:r>
      <w:r xml:space="preserve">
        <w:t> </w:t>
      </w:r>
      <w:r>
        <w:t xml:space="preserve">whether the department placed the child with a relative or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(D)</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t xml:space="preserve">(E)</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t xml:space="preserve">(F)</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t xml:space="preserve">(G)</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(H)</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(I)</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(J)</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t xml:space="preserve">(K)</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t xml:space="preserve">(L)</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at each permanency hearing after the court renders a final order, the court shall review the department's efforts to ensure the child has regular, ongoing opportunities to engage in age-appropriate normalcy activities, including activities not listed in the child's service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263.503, Family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permanency hearing conducted under Chapter 263, Family Code, on or after the effective date of this Act. A permanency hearing conducted before the effective date of this Act is governed by the law in effect on the date the hearing was conducted,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