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2064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amount of a hospital or physician lien on certain causes of action or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55.004(b), Property Code, is amended to read as follows:</w:t>
      </w:r>
    </w:p>
    <w:p w:rsidR="003F3435" w:rsidRDefault="0032493E">
      <w:pPr>
        <w:spacing w:line="480" w:lineRule="auto"/>
        <w:ind w:firstLine="720"/>
        <w:jc w:val="both"/>
      </w:pPr>
      <w:r>
        <w:t xml:space="preserve">(b)</w:t>
      </w:r>
      <w:r xml:space="preserve">
        <w:t> </w:t>
      </w:r>
      <w:r xml:space="preserve">
        <w:t> </w:t>
      </w:r>
      <w:r>
        <w:t xml:space="preserve">A hospital lien described by Section 55.002(a) is for the lesser of:</w:t>
      </w:r>
    </w:p>
    <w:p w:rsidR="003F3435" w:rsidRDefault="0032493E">
      <w:pPr>
        <w:spacing w:line="480" w:lineRule="auto"/>
        <w:ind w:firstLine="1440"/>
        <w:jc w:val="both"/>
      </w:pPr>
      <w:r>
        <w:t xml:space="preserve">(1)</w:t>
      </w:r>
      <w:r xml:space="preserve">
        <w:t> </w:t>
      </w:r>
      <w:r xml:space="preserve">
        <w:t> </w:t>
      </w:r>
      <w:r>
        <w:t xml:space="preserve">the amount of the hospital's charges for services provided to the injured individual during the first 100 days of the injured individual's hospitalization;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50 percent of all amounts recovered by the injured individual through a cause of action, judgment, or settlement described by Section 55.003(a)</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trier of fact specifies the amount awarded for hospital charges for services provided to the injured individual, the amount awarded by the trier of fact for the services provided to the injured individual by the hospital less the pro rata share of reasonable attorney's fees and expenses the injured individual incurred in pursuing the claim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lien for services provided to an injured individual on or after the effective date of this Act. </w:t>
      </w:r>
      <w:r>
        <w:t xml:space="preserve"> </w:t>
      </w:r>
      <w:r>
        <w:t xml:space="preserve">A lien for services provided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2064 was passed by the House on May 6, 2021, by the following vote:</w:t>
      </w:r>
      <w:r xml:space="preserve">
        <w:t> </w:t>
      </w:r>
      <w:r xml:space="preserve">
        <w:t> </w:t>
      </w:r>
      <w:r>
        <w:t xml:space="preserve">Yeas 143, Nays 0, 2 present, not voting; and that the House concurred in Senate amendments to H.B. No. 2064 on May 28, 2021, by the following vote:</w:t>
      </w:r>
      <w:r xml:space="preserve">
        <w:t> </w:t>
      </w:r>
      <w:r xml:space="preserve">
        <w:t> </w:t>
      </w:r>
      <w:r>
        <w:t xml:space="preserve">Yeas 147,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2064 was passed by the Senate, with amendments, on May 26, 2021,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