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87R16442 MWC-F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2064</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2064:</w:t>
      </w:r>
    </w:p>
    <w:p w:rsidR="003F3435" w:rsidRDefault="0032493E">
      <w:pPr>
        <w:spacing w:line="480" w:lineRule="auto"/>
        <w:jc w:val="both"/>
        <w:tabs>
          <w:tab w:val="right" w:leader="none" w:pos="9350"/>
        </w:tabs>
      </w:pPr>
      <w:r>
        <w:t xml:space="preserve">By:</w:t>
      </w:r>
      <w:r xml:space="preserve">
        <w:t> </w:t>
      </w:r>
      <w:r xml:space="preserve">
        <w:t> </w:t>
      </w:r>
      <w:r>
        <w:t xml:space="preserve">Johnson of Dallas</w:t>
      </w:r>
      <w:r xml:space="preserve">
        <w:tab wTab="150" tlc="none" cTlc="0"/>
      </w:r>
      <w:r>
        <w:t xml:space="preserve">C.S.H.B.</w:t>
      </w:r>
      <w:r xml:space="preserve">
        <w:t> </w:t>
      </w:r>
      <w:r>
        <w:t xml:space="preserve">No.</w:t>
      </w:r>
      <w:r xml:space="preserve">
        <w:t> </w:t>
      </w:r>
      <w:r>
        <w:t xml:space="preserve">2064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a hospital or physician lien on certain causes of action or claims.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55.004(b), Property Code, is amended to read as follows:</w:t>
      </w:r>
    </w:p>
    <w:p w:rsidR="003F3435" w:rsidRDefault="0032493E">
      <w:pPr>
        <w:spacing w:line="480" w:lineRule="auto"/>
        <w:ind w:firstLine="720"/>
        <w:jc w:val="both"/>
      </w:pPr>
      <w:r>
        <w:t xml:space="preserve">(b)</w:t>
      </w:r>
      <w:r xml:space="preserve">
        <w:t> </w:t>
      </w:r>
      <w:r xml:space="preserve">
        <w:t> </w:t>
      </w:r>
      <w:r>
        <w:t xml:space="preserve">A hospital lien described by Section 55.002(a) is for the lesser of:</w:t>
      </w:r>
    </w:p>
    <w:p w:rsidR="003F3435" w:rsidRDefault="0032493E">
      <w:pPr>
        <w:spacing w:line="480" w:lineRule="auto"/>
        <w:ind w:firstLine="1440"/>
        <w:jc w:val="both"/>
      </w:pPr>
      <w:r>
        <w:t xml:space="preserve">(1)</w:t>
      </w:r>
      <w:r xml:space="preserve">
        <w:t> </w:t>
      </w:r>
      <w:r xml:space="preserve">
        <w:t> </w:t>
      </w:r>
      <w:r>
        <w:t xml:space="preserve">the amount of the hospital's charges for services provided to the injured individual during the first 100 days of the injured individual's hospitalization </w:t>
      </w:r>
      <w:r>
        <w:rPr>
          <w:u w:val="single"/>
        </w:rPr>
        <w:t xml:space="preserve">less the pro rata share of attorney's fees and expenses the injured individual incurred in pursuing the claim</w:t>
      </w:r>
      <w:r>
        <w:t xml:space="preserve">; [</w:t>
      </w:r>
      <w:r>
        <w:rPr>
          <w:strike/>
        </w:rPr>
        <w:t xml:space="preserve">or</w:t>
      </w:r>
      <w:r>
        <w:t xml:space="preserve">]</w:t>
      </w:r>
    </w:p>
    <w:p w:rsidR="003F3435" w:rsidRDefault="0032493E">
      <w:pPr>
        <w:spacing w:line="480" w:lineRule="auto"/>
        <w:ind w:firstLine="1440"/>
        <w:jc w:val="both"/>
      </w:pPr>
      <w:r>
        <w:t xml:space="preserve">(2)</w:t>
      </w:r>
      <w:r xml:space="preserve">
        <w:t> </w:t>
      </w:r>
      <w:r xml:space="preserve">
        <w:t> </w:t>
      </w:r>
      <w:r>
        <w:t xml:space="preserve">50 percent of all amounts recovered by the injured individual through a cause of action, judgment, or settlement described by Section 55.003(a) </w:t>
      </w:r>
      <w:r>
        <w:rPr>
          <w:u w:val="single"/>
        </w:rPr>
        <w:t xml:space="preserve">less the pro rata share of attorney's fees and expenses the injured individual incurred in pursuing the claim;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amount awarded by the trier of fact for the services provided to the injured individual by the hospital less the pro rata share of attorney's fees and expenses the injured individual incurred in pursuing the claim</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lien for services provided to an injured individual on or after the effective date of this Act. A lien for services provided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2064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