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87R7591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Dominguez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2067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and elimination of certain state holidays.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662.003(b),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holiday includes only the following days: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19th day of January, </w:t>
      </w:r>
      <w:r>
        <w:rPr>
          <w:u w:val="single"/>
        </w:rPr>
        <w:t xml:space="preserve">"COVID-19 Heroes Day," in honor of the frontline workers, essential personnel, and all Texans who sacrificed during the pandemic</w:t>
      </w:r>
      <w:r>
        <w:t xml:space="preserve"> [</w:t>
      </w:r>
      <w:r>
        <w:rPr>
          <w:strike/>
        </w:rPr>
        <w:t xml:space="preserve">"Confederate Heroes Day," in honor of Jefferson Davis, Robert E. Lee, and other Confederate heroes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second day of March, "Texas Independence Day";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21st day of April, "San Jacinto Day";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19th day of June, "Emancipation Day in Texas," in honor of the emancipation of the slaves in Texas in 1865;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27th day of August, "Lyndon Baines Johnson Day," in observance of the birthday of Lyndon Baines Johnson;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Friday after Thanksgiving Day;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the 24th day of December;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the 26th day of December.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2067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