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87R7633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of property owners' association fine policies with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212, Local Government Code, is amended by adding Section 212.906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212.906.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PROPERTY OWNERS' ASSOCIATION FINE POLICY.  (a)  In this section, "property owners' association" has the meaning assigned by Section 209.002, Property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in which a subdivision with a property owners' association is located shall require the association to file with the municipality a copy of the policy, and each subsequent amendment to the policy, regarding the enforcement of fines assessed by the association. The policy must disclose: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type of violation for which the board of the association may assess a fine;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fine for each type of violation;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pertinent information regarding hearings described by Section 209.007, Property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in which a subdivision with a property owners' association is located shall require the association to provide a copy of the policy to an owner of each property in the subdivision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the policy on an Internet website maintained by the association;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sending a copy of the policy, separately or included in routine communication from the association, to each property owner,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hand delivery to the owner;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first class mail to the owner's last known mailing address;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e-mail to an e-mail address provided to the association by the owner.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