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87R7294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Reynolds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2081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motor vehicle accidents involving a pedestrian or other vulnerable road user within the area of a crosswalk; creating a criminal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This Act shall be known as the Lisa Torry Smith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I, Chapter 545, Transportation Code, is amended by adding Section 545.428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545.428.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MOTOR VEHICLE ACCIDENT INVOLVING PEDESTRIAN OR OTHER VULNERABLE ROAD USER WITHIN AREA OF CROSSWALK; OFFENSE.  (a) 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"Electric personal assistive mobility device" has the meaning assigned by Section 551.201.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"Golf cart" has the meaning assigned by Section 551.401.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"Motor-assisted scooter" has the meaning assigned by Section 551.351.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"Neighborhood electric vehicle" has the meaning assigned by Section 551.301.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commits an offense if the person with criminal negligence: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operates a motor vehicle within the area of a crosswalk;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causes bodily injury to a pedestrian or a person operating a bicycle, motor-assisted scooter, electronic personal assistive mobility device, neighborhood electric vehicle, or golf cart.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Class A misdemeanor, except that the offense is a state jail felony if the person described by Subsection (b)(2) suffered serious bodily injury.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It is an affirmative defense to prosecution under this section that, at the time of the offense, the person described by Subsection (b)(2) was violating a provision of this subtitle relating to walking, movement, or operation in a crosswalk or on a roadway.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conduct that constitutes an offense under this section also constitutes an offense under any other law, the actor may be prosecuted under this section, the other law, or both.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