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87R8613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general manager of the Upper Colorado River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8506.056(d), (e), and (f), Special District Local Laws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board may employ a general manager. The general manager</w:t>
      </w:r>
      <w:r>
        <w:t xml:space="preserve"> [</w:t>
      </w:r>
      <w:r>
        <w:rPr>
          <w:strike/>
        </w:rPr>
        <w:t xml:space="preserve">presiding officer</w:t>
      </w:r>
      <w:r>
        <w:t xml:space="preserve">] is the chief executive officer of the authority.  </w:t>
      </w:r>
      <w:r>
        <w:rPr>
          <w:u w:val="single"/>
        </w:rPr>
        <w:t xml:space="preserve">The general manager may not be a member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secretary, secretary pro tem, presiding officer, </w:t>
      </w:r>
      <w:r>
        <w:rPr>
          <w:u w:val="single"/>
        </w:rPr>
        <w:t xml:space="preserve">general manager,</w:t>
      </w:r>
      <w:r>
        <w:t xml:space="preserve"> and treasurer have the powers and duties, hold office for the term, and are subject to removal in the manner provided by the bylaws.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shall set the compensation of the secretary, secretary pro tem, presiding officer, </w:t>
      </w:r>
      <w:r>
        <w:rPr>
          <w:u w:val="single"/>
        </w:rPr>
        <w:t xml:space="preserve">general manager,</w:t>
      </w:r>
      <w:r>
        <w:t xml:space="preserve"> and treasurer.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8506.058(c),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general manager</w:t>
      </w:r>
      <w:r>
        <w:t xml:space="preserve"> [</w:t>
      </w:r>
      <w:r>
        <w:rPr>
          <w:strike/>
        </w:rPr>
        <w:t xml:space="preserve">presiding officer</w:t>
      </w:r>
      <w:r>
        <w:t xml:space="preserve">] is in charge of the authority's general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