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87R5141 EAS-F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Cortez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2093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including licensed physician assistants in the definition of non-physician mental health professional for purposes of certain provisions applicable to non-physician mental health professionals.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571.003(15), Health and Safety Code, is amended to read as follows: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(15)</w:t>
      </w:r>
      <w:r xml:space="preserve">
        <w:t> </w:t>
      </w:r>
      <w:r xml:space="preserve">
        <w:t> </w:t>
      </w:r>
      <w:r>
        <w:t xml:space="preserve">"Non-physician mental health professional" means: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a psychologist licensed to practice in this state and designated as a health-service provider;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 registered nurse with a master's or doctoral degree in psychiatric nursing;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a licensed clinical social worker;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a licensed professional counselor licensed to practice in this state; [</w:t>
      </w:r>
      <w:r>
        <w:rPr>
          <w:strike/>
        </w:rPr>
        <w:t xml:space="preserve">or</w:t>
      </w:r>
      <w:r>
        <w:t xml:space="preserve">]</w:t>
      </w:r>
    </w:p>
    <w:p w:rsidR="003F3435" w:rsidRDefault="0032493E">
      <w:pPr>
        <w:spacing w:line="480" w:lineRule="auto"/>
        <w:ind w:firstLine="2160"/>
        <w:jc w:val="both"/>
      </w:pPr>
      <w:r>
        <w:t xml:space="preserve">(E)</w:t>
      </w:r>
      <w:r xml:space="preserve">
        <w:t> </w:t>
      </w:r>
      <w:r xml:space="preserve">
        <w:t> </w:t>
      </w:r>
      <w:r>
        <w:t xml:space="preserve">a licensed marriage and family therapist licensed to practice in this state</w:t>
      </w:r>
      <w:r>
        <w:rPr>
          <w:u w:val="single"/>
        </w:rPr>
        <w:t xml:space="preserve">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(F)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physician assistant licensed to practice in this state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2093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