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87R16695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2094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2094: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Hidalgo County Drainage District Number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"telecommunications provider"</w:t>
      </w:r>
      <w:r>
        <w:t xml:space="preserve"> </w:t>
      </w:r>
      <w:r>
        <w:t xml:space="preserve">has the meaning assigned by Section 51.002, Utilities Code.</w:t>
      </w:r>
    </w:p>
    <w:p w:rsidR="003F3435" w:rsidRDefault="0032493E">
      <w:pPr>
        <w:spacing w:line="480" w:lineRule="auto"/>
        <w:ind w:firstLine="720"/>
        <w:jc w:val="both"/>
      </w:pPr>
      <w:r>
        <w:t xml:space="preserve">(b)</w:t>
      </w:r>
      <w:r xml:space="preserve">
        <w:t> </w:t>
      </w:r>
      <w:r xml:space="preserve">
        <w:t> </w:t>
      </w:r>
      <w:r>
        <w:t xml:space="preserve">This section does not apply to property owned by a telecommunications provider.</w:t>
      </w:r>
    </w:p>
    <w:p w:rsidR="003F3435" w:rsidRDefault="0032493E">
      <w:pPr>
        <w:spacing w:line="480" w:lineRule="auto"/>
        <w:ind w:firstLine="720"/>
        <w:jc w:val="both"/>
      </w:pPr>
      <w:r>
        <w:t xml:space="preserve">(c)</w:t>
      </w:r>
      <w:r xml:space="preserve">
        <w:t> </w:t>
      </w:r>
      <w:r xml:space="preserve">
        <w:t> </w:t>
      </w:r>
      <w:r>
        <w:t xml:space="preserve">In order to carry out district purposes, the Hidalgo County Drainage District Number 1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30th day after the date the notice is sent, the district must send a second notice by certified mail.  The district may use existing civil lawsuit processes against the owner of the property to recover the cost of removing the property not earlier than the 30th day after the date the second notice was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