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water research conducted by The University of Texas Bureau of Economic Geology.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Water Code, is amended by adding Subtitle G to read as follows:</w:t>
      </w:r>
    </w:p>
    <w:p w:rsidR="003F3435" w:rsidRDefault="0032493E">
      <w:pPr>
        <w:spacing w:line="480" w:lineRule="auto"/>
        <w:jc w:val="center"/>
      </w:pPr>
      <w:r>
        <w:rPr>
          <w:u w:val="single"/>
        </w:rPr>
        <w:t xml:space="preserve">SUBTITLE G.  WATER RESEARCH</w:t>
      </w:r>
    </w:p>
    <w:p w:rsidR="003F3435" w:rsidRDefault="0032493E">
      <w:pPr>
        <w:spacing w:line="480" w:lineRule="auto"/>
        <w:jc w:val="center"/>
      </w:pPr>
      <w:r>
        <w:rPr>
          <w:u w:val="single"/>
        </w:rPr>
        <w:t xml:space="preserve">CHAPTER 39.  WATER RESEARCH CONDUCTED BY BUREAU OF ECONOMIC GEOLOGY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39.0100.</w:t>
      </w:r>
      <w:r>
        <w:rPr>
          <w:u w:val="single"/>
        </w:rPr>
        <w:t xml:space="preserve"> </w:t>
      </w:r>
      <w:r>
        <w:rPr>
          <w:u w:val="single"/>
        </w:rPr>
        <w:t xml:space="preserve"> </w:t>
      </w:r>
      <w:r>
        <w:rPr>
          <w:u w:val="single"/>
        </w:rPr>
        <w:t xml:space="preserve">SHORT TITLE.  This chapter may be cited as the Texas Water Information Network Exchange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"Bureau" means The University of Texas Bureau of Economic Geology.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39.0102.</w:t>
      </w:r>
      <w:r>
        <w:rPr>
          <w:u w:val="single"/>
        </w:rPr>
        <w:t xml:space="preserve"> </w:t>
      </w:r>
      <w:r>
        <w:rPr>
          <w:u w:val="single"/>
        </w:rPr>
        <w:t xml:space="preserve"> </w:t>
      </w:r>
      <w:r>
        <w:rPr>
          <w:u w:val="single"/>
        </w:rPr>
        <w:t xml:space="preserve">DATA AND MODELING.  (a)  The bureau shall, in coordination with the board, make studies of water, including surface water, groundwater, soil moisture, and atmospheric moisture, to improve on data gaps and on the processing, analysis, modeling, and integration of water-related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bureau shall, in coordination with the board, work to enhance, advance, or integrate models characterizing the water resources of the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the techniques for multiscale modeling;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expanding the use of artificial intelligence and machine learning techniques;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integrating multiscale modeling and machine learning;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creating interoperable, modular, or coupled modeling strategies;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improving access to and methods for achieving high-performance computing;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improving access to open-source, community-supported modeling.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39.0103.</w:t>
      </w:r>
      <w:r>
        <w:rPr>
          <w:u w:val="single"/>
        </w:rPr>
        <w:t xml:space="preserve"> </w:t>
      </w:r>
      <w:r>
        <w:rPr>
          <w:u w:val="single"/>
        </w:rPr>
        <w:t xml:space="preserve"> </w:t>
      </w:r>
      <w:r>
        <w:rPr>
          <w:u w:val="single"/>
        </w:rPr>
        <w:t xml:space="preserve">COOPERATION AND COORDINATION.  (a)  In fulfilling the duties described by Section 39.0102, the bureau shall cooperate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Edwards Aquifer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river authorities;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groundwater conservation districts;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Tech University;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state agency or university with access to data related to surface water, groundwater, soil moisture, or atmospheric moisture.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bureau may coordinate with federal agencies or private entities as appropriate to fulfill the requirements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agencies, political subdivisions, and universities described by Subsection (a) shall provide, on request and to the extent available, data to the bureau as necessary to fulfill the requirements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of any conflict or inconsistency, the provisions of Chapters 6 and 16 describing the powers, duties, and functions of the board prevail over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bureau and the board shall enter into a memorandum of understanding to define their powers, duties, and functions related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39.0104.</w:t>
      </w:r>
      <w:r>
        <w:rPr>
          <w:u w:val="single"/>
        </w:rPr>
        <w:t xml:space="preserve"> </w:t>
      </w:r>
      <w:r>
        <w:rPr>
          <w:u w:val="single"/>
        </w:rPr>
        <w:t xml:space="preserve"> </w:t>
      </w:r>
      <w:r>
        <w:rPr>
          <w:u w:val="single"/>
        </w:rPr>
        <w:t xml:space="preserve">RESULTS.  The bureau shall cooperate with the board to ensure that the data and information compiled and produced under Section 39.0102 are made available in accordance with Section 16.012(d).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