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assessment of certain public health data reporting systems and implementation of public health data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Health and Safety Code, is amended by adding Section 81.0445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PUBLIC HEALTH DATA STUDY AND REPORTING REQUIREMENTS.  (a)  For purposes of this section, "coronavirus disease public health emergency" applies to the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on January 31, 2020, the date the United States secretary of health and human services declared a public health emergency under Section 319, Public Health Service Act (42 U.S.C. Section 247d), with respect to the coronavirus disease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public health emergency described by Subdivision (1) ends;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system used by this state for reporting public health data to the federal government during the coronavirus disease public health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system used by persons required to report under this chapter, including local health authorities, for reporting public health data to this state during the coronavirus public health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 comparative analysis of the systems described by Subdivision (1) and generally recognized and accepted methods for public health data reporting.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results of the study and analysis conducted under Subsection (b), the department, using evidence-based, standardized data reporting methods,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uniform set of public health data reporting requirements for this state, local health authorities, and any other persons required to report under this chapter, to use during a public health disaster declared under this chapter or a state of disaster declared under Chapter 418,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update the reporting requirements as necessary to address advancements in technology and communications.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conduct the study and analysis required by Section 81.0445, Health and Safety Code, as added by this Act, and develop the public health data reporting requirements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