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criminal offenses for violating an emergency management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418.173,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offense committed on or after the effective date of this Act and to any criminal action pending on the effective date of this Act for an offense committed before that effective date. A final conviction for an offense under Section 418.173, Government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