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87R7686 SGM-D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an electronic device for accepting voters; authorizing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31.014, Election Code, is amended by amending Subsection (c) and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secretary of state shall adopt rules that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require a device described by this section used during the early voting period or under the countywide polling place program under Section 43.007 to update data in real time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a county that uses a device described by this section to use each device function described by Subsection (a)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 xml:space="preserve">
        <w:t> </w:t>
      </w:r>
      <w:r xml:space="preserve">
        <w:t> </w:t>
      </w:r>
      <w:r>
        <w:t xml:space="preserve">If a county uses a device </w:t>
      </w:r>
      <w:r>
        <w:rPr>
          <w:u w:val="single"/>
        </w:rPr>
        <w:t xml:space="preserve">that does not comply with a rule adopted under this section or uses a device in a manner</w:t>
      </w:r>
      <w:r>
        <w:t xml:space="preserve"> that does not comply with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rule </w:t>
      </w:r>
      <w:r>
        <w:rPr>
          <w:u w:val="single"/>
        </w:rPr>
        <w:t xml:space="preserve">adopted under this section</w:t>
      </w:r>
      <w:r>
        <w:t xml:space="preserve"> in two consecutive general elections for state and county officers, the secretary of state shall assess a noncompliance fee. The noncompliance fee shall be set at an amount determined by secretary of state rule.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an election that is ordered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