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services for children who are unfit or lack responsibility to proceed in juvenile court proceedings as a result of intellectual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55.33, Family Code, is amended to read as follows:</w:t>
      </w:r>
    </w:p>
    <w:p w:rsidR="003F3435" w:rsidRDefault="0032493E">
      <w:pPr>
        <w:spacing w:line="480" w:lineRule="auto"/>
        <w:ind w:firstLine="720"/>
        <w:jc w:val="both"/>
      </w:pPr>
      <w:r>
        <w:t xml:space="preserve">Sec.</w:t>
      </w:r>
      <w:r xml:space="preserve">
        <w:t> </w:t>
      </w:r>
      <w:r>
        <w:t xml:space="preserve">55.33.</w:t>
      </w:r>
      <w:r xml:space="preserve">
        <w:t> </w:t>
      </w:r>
      <w:r xml:space="preserve">
        <w:t> </w:t>
      </w:r>
      <w:r>
        <w:t xml:space="preserve">PROCEEDINGS FOLLOWING FINDING OF UNFITNESS TO PROCEED.  (a) </w:t>
      </w:r>
      <w:r>
        <w:t xml:space="preserve"> </w:t>
      </w:r>
      <w:r>
        <w:t xml:space="preserve">If the juvenile court or jury determines under Section 55.32 that a child is unfit </w:t>
      </w:r>
      <w:r>
        <w:rPr>
          <w:u w:val="single"/>
        </w:rPr>
        <w:t xml:space="preserve">as a result of mental illness or an intellectual disability</w:t>
      </w:r>
      <w:r>
        <w:t xml:space="preserve"> to proceed with the juvenile court proceedings for delinquent conduct,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unfitness to proceed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unfitness to proceed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unfitness to proceed is a result of mental illness and</w:t>
      </w:r>
      <w:r>
        <w:t xml:space="preserve">] the court determines that the child may be adequately treated </w:t>
      </w:r>
      <w:r>
        <w:rPr>
          <w:u w:val="single"/>
        </w:rPr>
        <w:t xml:space="preserve">or served</w:t>
      </w:r>
      <w:r>
        <w:t xml:space="preserve"> in an alternative setting, order the child to receive treatment for mental illness </w:t>
      </w:r>
      <w:r>
        <w:rPr>
          <w:u w:val="single"/>
        </w:rPr>
        <w:t xml:space="preserve">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55.34(a),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55.33(a)(1)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55.35(b),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55.33(a),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is fit or unfit to proceed.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w:t>
      </w:r>
      <w:r>
        <w:rPr>
          <w:u w:val="single"/>
        </w:rPr>
        <w:t xml:space="preserve">or intellectual disability</w:t>
      </w:r>
      <w:r>
        <w:t xml:space="preserve">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w:t>
      </w:r>
      <w:r>
        <w:rPr>
          <w:u w:val="single"/>
        </w:rPr>
        <w:t xml:space="preserve">or services</w:t>
      </w:r>
      <w:r>
        <w:t xml:space="preserve">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55.52, Family Code, is amended to read as follows:</w:t>
      </w:r>
    </w:p>
    <w:p w:rsidR="003F3435" w:rsidRDefault="0032493E">
      <w:pPr>
        <w:spacing w:line="480" w:lineRule="auto"/>
        <w:ind w:firstLine="720"/>
        <w:jc w:val="both"/>
      </w:pPr>
      <w:r>
        <w:t xml:space="preserve">Sec.</w:t>
      </w:r>
      <w:r xml:space="preserve">
        <w:t> </w:t>
      </w:r>
      <w:r>
        <w:t xml:space="preserve">55.52.</w:t>
      </w:r>
      <w:r xml:space="preserve">
        <w:t> </w:t>
      </w:r>
      <w:r xml:space="preserve">
        <w:t> </w:t>
      </w:r>
      <w:r>
        <w:t xml:space="preserve">PROCEEDINGS FOLLOWING FINDING OF LACK OF RESPONSIBILITY FOR CONDUCT.  (a) If the court or jury finds that a child is not responsible for the child's conduct under Section 55.51 </w:t>
      </w:r>
      <w:r>
        <w:rPr>
          <w:u w:val="single"/>
        </w:rPr>
        <w:t xml:space="preserve">as a result of mental illness or an intellectual disability</w:t>
      </w:r>
      <w:r>
        <w:t xml:space="preserve">,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lack of responsibility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lack of responsibility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child's lack of responsibility is a result of mental illness and</w:t>
      </w:r>
      <w:r>
        <w:t xml:space="preserve">] the court determines that the child may be adequately treated </w:t>
      </w:r>
      <w:r>
        <w:rPr>
          <w:u w:val="single"/>
        </w:rPr>
        <w:t xml:space="preserve">or served</w:t>
      </w:r>
      <w:r>
        <w:t xml:space="preserve"> in an alternative setting, order the child to receive treatment </w:t>
      </w:r>
      <w:r>
        <w:rPr>
          <w:u w:val="single"/>
        </w:rPr>
        <w:t xml:space="preserve">for mental illness 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55.53(a),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55.52(a)(1)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55.54(b),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55.52(a),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has a mental illness or an intellectual disability.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2107 was passed by the House on May 8, 2021, by the following vote:</w:t>
      </w:r>
      <w:r xml:space="preserve">
        <w:t> </w:t>
      </w:r>
      <w:r xml:space="preserve">
        <w:t> </w:t>
      </w:r>
      <w:r>
        <w:t xml:space="preserve">Yeas 119,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2107 was passed by the Senate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