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87R19297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2108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2108:</w:t>
      </w: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C.S.H.B.</w:t>
      </w:r>
      <w:r xml:space="preserve">
        <w:t> </w:t>
      </w:r>
      <w:r>
        <w:t xml:space="preserve">No.</w:t>
      </w:r>
      <w:r xml:space="preserve">
        <w:t> </w:t>
      </w:r>
      <w:r>
        <w:t xml:space="preserve">2108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waiver of jurisdiction and discretionary transfer of a child from a juvenile court to a criminal court.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54.02, Family Code, is amended by amending Subsections (d), (f), (h), (l), and (n)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Prior to the hearing, the juvenile court shall </w:t>
      </w:r>
      <w:r>
        <w:rPr>
          <w:u w:val="single"/>
        </w:rPr>
        <w:t xml:space="preserve">admonish the child in open court and in the presence of the child's counsel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court's consideration of waiving its jurisdiction over the child and transferring the child to criminal court for criminal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right to participate or to decline to participate in any diagnostic study, social evaluation, or investigation ordered by the juvenile court under Subsection (d-1).</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After the admonishment under Subsection (d), the juvenile court shall</w:t>
      </w:r>
      <w:r>
        <w:t xml:space="preserve"> order [</w:t>
      </w:r>
      <w:r>
        <w:rPr>
          <w:strike/>
        </w:rPr>
        <w:t xml:space="preserve">and obtain</w:t>
      </w:r>
      <w:r>
        <w:t xml:space="preserve">] a complete diagnostic study, social evaluation, and full investigation of the child, </w:t>
      </w:r>
      <w:r>
        <w:rPr>
          <w:u w:val="single"/>
        </w:rPr>
        <w:t xml:space="preserve">the child's</w:t>
      </w:r>
      <w:r>
        <w:t xml:space="preserve"> [</w:t>
      </w:r>
      <w:r>
        <w:rPr>
          <w:strike/>
        </w:rPr>
        <w:t xml:space="preserve">his</w:t>
      </w:r>
      <w:r>
        <w:t xml:space="preserve">] circumstances, and the circumstances of the alleged offense </w:t>
      </w:r>
      <w:r>
        <w:rPr>
          <w:u w:val="single"/>
        </w:rPr>
        <w:t xml:space="preserve">and shall set the date of the transfer hearing</w:t>
      </w:r>
      <w:r>
        <w:t xml:space="preserve">.  </w:t>
      </w:r>
      <w:r>
        <w:rPr>
          <w:u w:val="single"/>
        </w:rPr>
        <w:t xml:space="preserve">If the child declines to participate in a study, evaluation, or investigation, the attorney for the child shall state the refusal to the court in open court or in writing not later than the fifth business day after the date the court ordered the study, evaluation, or investigation.</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In a hearing under this section, a presumption exists that it is in the best interest of the child and of justice that the juvenile court retain jurisdiction over the child.  The burden is on the state to overcome this presumption.</w:t>
      </w:r>
    </w:p>
    <w:p w:rsidR="003F3435" w:rsidRDefault="0032493E">
      <w:pPr>
        <w:spacing w:line="480" w:lineRule="auto"/>
        <w:ind w:firstLine="720"/>
        <w:jc w:val="both"/>
      </w:pPr>
      <w:r>
        <w:t xml:space="preserve">(f)</w:t>
      </w:r>
      <w:r xml:space="preserve">
        <w:t> </w:t>
      </w:r>
      <w:r xml:space="preserve">
        <w:t> </w:t>
      </w:r>
      <w:r>
        <w:t xml:space="preserve">In making the determination required by Subsection (a) of this section, the court shall consider, among other matters:</w:t>
      </w:r>
    </w:p>
    <w:p w:rsidR="003F3435" w:rsidRDefault="0032493E">
      <w:pPr>
        <w:spacing w:line="480" w:lineRule="auto"/>
        <w:ind w:firstLine="1440"/>
        <w:jc w:val="both"/>
      </w:pPr>
      <w:r>
        <w:t xml:space="preserve">(1)</w:t>
      </w:r>
      <w:r xml:space="preserve">
        <w:t> </w:t>
      </w:r>
      <w:r xml:space="preserve">
        <w:t> </w:t>
      </w:r>
      <w:r>
        <w:t xml:space="preserve">whether the alleged offense was against person or property, with greater weight in favor of transfer given to offenses against the person;</w:t>
      </w:r>
    </w:p>
    <w:p w:rsidR="003F3435" w:rsidRDefault="0032493E">
      <w:pPr>
        <w:spacing w:line="480" w:lineRule="auto"/>
        <w:ind w:firstLine="1440"/>
        <w:jc w:val="both"/>
      </w:pPr>
      <w:r>
        <w:t xml:space="preserve">(2)</w:t>
      </w:r>
      <w:r xml:space="preserve">
        <w:t> </w:t>
      </w:r>
      <w:r xml:space="preserve">
        <w:t> </w:t>
      </w:r>
      <w:r>
        <w:t xml:space="preserve">the sophistication and maturity of the child;</w:t>
      </w:r>
    </w:p>
    <w:p w:rsidR="003F3435" w:rsidRDefault="0032493E">
      <w:pPr>
        <w:spacing w:line="480" w:lineRule="auto"/>
        <w:ind w:firstLine="1440"/>
        <w:jc w:val="both"/>
      </w:pPr>
      <w:r>
        <w:t xml:space="preserve">(3)</w:t>
      </w:r>
      <w:r xml:space="preserve">
        <w:t> </w:t>
      </w:r>
      <w:r xml:space="preserve">
        <w:t> </w:t>
      </w:r>
      <w:r>
        <w:t xml:space="preserve">the record and previous history of the child;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prospects of adequate protection of the public and the likelihood of the rehabilitation of the child by use of procedures, services, and facilities currently available to the juvenile court</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substantive requirements for waiving jurisdiction;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relevant information ascertained in the full investigation of the child;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benefits or harm of retaining the child in the juvenile justice system</w:t>
      </w:r>
      <w:r>
        <w:t xml:space="preserve">.</w:t>
      </w:r>
    </w:p>
    <w:p w:rsidR="003F3435" w:rsidRDefault="0032493E">
      <w:pPr>
        <w:spacing w:line="480" w:lineRule="auto"/>
        <w:ind w:firstLine="720"/>
        <w:jc w:val="both"/>
      </w:pPr>
      <w:r>
        <w:t xml:space="preserve">(h)</w:t>
      </w:r>
      <w:r xml:space="preserve">
        <w:t> </w:t>
      </w:r>
      <w:r xml:space="preserve">
        <w:t> </w:t>
      </w:r>
      <w:r>
        <w:t xml:space="preserve">If the juvenile court waives jurisdiction, it shall state specifically in the order its reasons for waiver</w:t>
      </w:r>
      <w:r>
        <w:rPr>
          <w:u w:val="single"/>
        </w:rPr>
        <w:t xml:space="preserve">.  The statement of reasons must set forth a rational basis for the waiver of jurisdiction, with sufficient specificity to permit meaningful review, and must include case-specific findings of fact that do not rely solely upon the nature or seriousness of the offense.  The court shall</w:t>
      </w:r>
      <w:r>
        <w:t xml:space="preserve"> [</w:t>
      </w:r>
      <w:r>
        <w:rPr>
          <w:strike/>
        </w:rPr>
        <w:t xml:space="preserve">and</w:t>
      </w:r>
      <w:r>
        <w:t xml:space="preserve">] certify its action, including the written order and findings of the court, and shall transfer the person to the appropriate court for criminal proceedings and cause the results of the diagnostic study of the person ordered under Subsection </w:t>
      </w:r>
      <w:r>
        <w:rPr>
          <w:u w:val="single"/>
        </w:rPr>
        <w:t xml:space="preserve">(d-1)</w:t>
      </w:r>
      <w:r>
        <w:t xml:space="preserve"> [</w:t>
      </w:r>
      <w:r>
        <w:rPr>
          <w:strike/>
        </w:rPr>
        <w:t xml:space="preserve">(d)</w:t>
      </w:r>
      <w:r>
        <w:t xml:space="preserve">], including psychological information, to be transferred to the appropriate criminal prosecutor. On transfer of the person for criminal proceedings, the person shall be dealt with as an adult and in accordance with the Code of Criminal Procedure, except that if detention in a certified juvenile detention facility is authorized under Section 152.0015, Human Resources Code, the juvenile court may order the person to be detained in the facility pending trial or until the criminal court enters an order under Article 4.19, Code of Criminal Procedure.  A transfer of custody made under this subsection is an arrest.</w:t>
      </w:r>
    </w:p>
    <w:p w:rsidR="003F3435" w:rsidRDefault="0032493E">
      <w:pPr>
        <w:spacing w:line="480" w:lineRule="auto"/>
        <w:ind w:firstLine="720"/>
        <w:jc w:val="both"/>
      </w:pPr>
      <w:r>
        <w:t xml:space="preserve">(l)</w:t>
      </w:r>
      <w:r xml:space="preserve">
        <w:t> </w:t>
      </w:r>
      <w:r xml:space="preserve">
        <w:t> </w:t>
      </w:r>
      <w:r>
        <w:t xml:space="preserve">The juvenile court shall conduct a hearing without a jury to consider waiver of jurisdiction under Subsection (j).  Except as otherwise provided by this subsection, a waiver of jurisdiction under Subsection (j) may be made without the necessity of conducting the diagnostic study [</w:t>
      </w:r>
      <w:r>
        <w:rPr>
          <w:strike/>
        </w:rPr>
        <w:t xml:space="preserve">or complying with the requirements of discretionary transfer proceedings</w:t>
      </w:r>
      <w:r>
        <w:t xml:space="preserve">] under Subsection </w:t>
      </w:r>
      <w:r>
        <w:rPr>
          <w:u w:val="single"/>
        </w:rPr>
        <w:t xml:space="preserve">(d-1)</w:t>
      </w:r>
      <w:r>
        <w:t xml:space="preserve"> [</w:t>
      </w:r>
      <w:r>
        <w:rPr>
          <w:strike/>
        </w:rPr>
        <w:t xml:space="preserve">(d)</w:t>
      </w:r>
      <w:r>
        <w:t xml:space="preserve">].  If requested by the attorney for the person at least 10 days before the transfer hearing, the court shall order that the person be examined pursuant to Section 51.20(a) and that the results of the examination be provided to the attorney for the person and the attorney for the state at least five days before the transfer hearing.</w:t>
      </w:r>
    </w:p>
    <w:p w:rsidR="003F3435" w:rsidRDefault="0032493E">
      <w:pPr>
        <w:spacing w:line="480" w:lineRule="auto"/>
        <w:ind w:firstLine="720"/>
        <w:jc w:val="both"/>
      </w:pPr>
      <w:r>
        <w:t xml:space="preserve">(n)</w:t>
      </w:r>
      <w:r xml:space="preserve">
        <w:t> </w:t>
      </w:r>
      <w:r xml:space="preserve">
        <w:t> </w:t>
      </w:r>
      <w:r>
        <w:t xml:space="preserve">A mandatory transfer under Subsection (m) may be made without conducting the study required in discretionary transfer proceedings by Subsection </w:t>
      </w:r>
      <w:r>
        <w:rPr>
          <w:u w:val="single"/>
        </w:rPr>
        <w:t xml:space="preserve">(d-1)</w:t>
      </w:r>
      <w:r>
        <w:t xml:space="preserve"> [</w:t>
      </w:r>
      <w:r>
        <w:rPr>
          <w:strike/>
        </w:rPr>
        <w:t xml:space="preserve">(d)</w:t>
      </w:r>
      <w:r>
        <w:t xml:space="preserve">].  The requirements of Subsection (b) that the summons state that the purpose of the hearing is to consider discretionary transfer to criminal court does not apply to a transfer proceeding under Subsection (m).  In a proceeding under Subsection (m), it is sufficient that the summons provide fair notice that the purpose of the hearing is to consider mandatory transfer to criminal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54.02, Family Code, as amended by this Act, applies only to conduct violating a penal law that occurs on or after the effective date of this Act.  Conduct violating a penal law that occurs before the effective date of this Act is governed by the law in effect when the conduct occurred, and the former law is continued in effect for that purpose.  For purposes of this section, conduct occurs before the effective date of this Act if any element of the conduct occurs before the effective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