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87R16606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2111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2111:</w:t>
      </w: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C.S.H.B.</w:t>
      </w:r>
      <w:r xml:space="preserve">
        <w:t> </w:t>
      </w:r>
      <w:r>
        <w:t xml:space="preserve">No.</w:t>
      </w:r>
      <w:r xml:space="preserve">
        <w:t> </w:t>
      </w:r>
      <w:r>
        <w:t xml:space="preserve">2111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rate filing requirements for certain personal lines insurers with low market shares.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2251.252, Insurance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(b)</w:t>
      </w:r>
      <w:r>
        <w:rPr>
          <w:u w:val="single"/>
        </w:rPr>
        <w:t xml:space="preserve">,</w:t>
      </w:r>
      <w:r>
        <w:t xml:space="preserve"> [</w:t>
      </w:r>
      <w:r>
        <w:rPr>
          <w:strike/>
        </w:rPr>
        <w:t xml:space="preserve">and</w:t>
      </w:r>
      <w:r>
        <w:t xml:space="preserve">] (c), </w:t>
      </w:r>
      <w:r>
        <w:rPr>
          <w:u w:val="single"/>
        </w:rPr>
        <w:t xml:space="preserve">and (d),</w:t>
      </w:r>
      <w:r>
        <w:t xml:space="preserve"> an insurer is exempt from the rate filing and approval requirements of this chapter if the insurer, during the calendar year preceding the date filing is otherwise required under this chapter, issued residential property insurance policies in this state that accounted for less than two percent of the total amount of premiums collected by insurers for residential property insurance policies issued in this state, more than 50 percent of which cover property:</w:t>
      </w:r>
    </w:p>
    <w:p w:rsidR="003F3435" w:rsidRDefault="0032493E">
      <w:pPr>
        <w:spacing w:line="480" w:lineRule="auto"/>
        <w:ind w:firstLine="1440"/>
        <w:jc w:val="both"/>
      </w:pPr>
      <w:r>
        <w:t xml:space="preserve">(1)</w:t>
      </w:r>
      <w:r xml:space="preserve">
        <w:t> </w:t>
      </w:r>
      <w:r xml:space="preserve">
        <w:t> </w:t>
      </w:r>
      <w:r>
        <w:t xml:space="preserve">valued at less than $100,000; and</w:t>
      </w:r>
    </w:p>
    <w:p w:rsidR="003F3435" w:rsidRDefault="0032493E">
      <w:pPr>
        <w:spacing w:line="480" w:lineRule="auto"/>
        <w:ind w:firstLine="1440"/>
        <w:jc w:val="both"/>
      </w:pPr>
      <w:r>
        <w:t xml:space="preserve">(2)</w:t>
      </w:r>
      <w:r xml:space="preserve">
        <w:t> </w:t>
      </w:r>
      <w:r xml:space="preserve">
        <w:t> </w:t>
      </w:r>
      <w:r>
        <w:t xml:space="preserve">located in an area designated by the commissioner as underserved for residential property insurance under Chapter 2004.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insurer described by Subsection (a) that increases the premium rates charged policyholders for a residential property insurance product by an annual average amount of eight percent or greater for three consecutive calendar years must file the insurer's proposed rates in accordance with this chapter in the calendar year following the three consecutive years and, if applicable, obtain approval of the proposed rates as provided by this chapter.  In calculating the three consecutive calendar years' average premium increases, an insurer is not required to consider a year in which there is a weather-related catastrophe or other major natural disaster that requires the commissioner to extend the claim-handling deadlines under Section 542.059(b).</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2251.1025, Insurance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rate for an insurance policy that is delivered, issued for delivery, or renewed on or after January 1, 2022.  A rate for an insurance policy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2111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