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Schaefer, White,</w:t>
      </w:r>
      <w:r xml:space="preserve">
        <w:tab wTab="150" tlc="none" cTlc="0"/>
      </w:r>
      <w:r>
        <w:t xml:space="preserve">H.B.</w:t>
      </w:r>
      <w:r xml:space="preserve">
        <w:t> </w:t>
      </w:r>
      <w:r>
        <w:t xml:space="preserve">No.</w:t>
      </w:r>
      <w:r xml:space="preserve">
        <w:t> </w:t>
      </w:r>
      <w:r>
        <w:t xml:space="preserve">2112</w:t>
      </w:r>
    </w:p>
    <w:p w:rsidR="003F3435" w:rsidRDefault="0032493E">
      <w:pPr>
        <w:jc w:val="both"/>
      </w:pPr>
      <w:r xml:space="preserve">
        <w:t> </w:t>
      </w:r>
      <w:r xml:space="preserve">
        <w:t> </w:t>
      </w:r>
      <w:r xml:space="preserve">
        <w:t> </w:t>
      </w:r>
      <w:r xml:space="preserve">
        <w:t> </w:t>
      </w:r>
      <w:r xml:space="preserve">
        <w:t> </w:t>
      </w:r>
      <w:r>
        <w:t xml:space="preserve">Bell of Montgomery, Morales of Maverick</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holstered handguns by handgun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w:t>
      </w:r>
      <w:r>
        <w:rPr>
          <w:strike/>
        </w:rPr>
        <w:t xml:space="preserve">shoulder or belt</w:t>
      </w:r>
      <w:r>
        <w:t xml:space="preserve">]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by the license holder.</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license holder commits an offense if, while intoxicated, the license holder carries a handgun under the authority of Subchapter H, Chapter 411, Government Code,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46.15(b), Penal Code, is amended to read as follows:</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