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87R1347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Krause</w:t>
      </w:r>
      <w:r xml:space="preserve">
        <w:tab wTab="150" tlc="none" cTlc="0"/>
      </w:r>
      <w:r>
        <w:t xml:space="preserve">H.B.</w:t>
      </w:r>
      <w:r xml:space="preserve">
        <w:t> </w:t>
      </w:r>
      <w:r>
        <w:t xml:space="preserve">No.</w:t>
      </w:r>
      <w:r xml:space="preserve">
        <w:t> </w:t>
      </w:r>
      <w:r>
        <w:t xml:space="preserve">2116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agreements by architects and engineers in or in connection with certain construction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130, Civil Practice and Remedies Code, is amended to read as follows:</w:t>
      </w:r>
    </w:p>
    <w:p w:rsidR="003F3435" w:rsidRDefault="0032493E">
      <w:pPr>
        <w:spacing w:line="480" w:lineRule="auto"/>
        <w:jc w:val="center"/>
      </w:pPr>
      <w:r>
        <w:t xml:space="preserve">CHAPTER 130. </w:t>
      </w:r>
      <w:r>
        <w:rPr>
          <w:u w:val="single"/>
        </w:rPr>
        <w:t xml:space="preserve">LIABILITY PROVISIONS</w:t>
      </w:r>
      <w:r>
        <w:t xml:space="preserve"> [</w:t>
      </w:r>
      <w:r>
        <w:rPr>
          <w:strike/>
        </w:rPr>
        <w:t xml:space="preserve">INDEMNIFICATION</w:t>
      </w:r>
      <w:r>
        <w:t xml:space="preserve">] IN CERTAIN CONSTRUCTION CONTRACTS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130.002, Civil Practice and Remedies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or (e), a covenant or promise in, in connection with, or collateral to a contract for engineering or architectural services related to an improvement to real property is void and unenforceable if the covenant or promise provides that a licensed engineer or registered architect must defend a party, including a third party.  A covenant or promise in, in connection with, or collateral to a contract for engineering or architectural services related to an improvement to real property may provide for the reimbursement of an owner's reasonable attorney's fees in proportion to the engineer's or architect's liability.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an owner that is a party to a contract for engineering or architectural services related to an improvement to real property may require in the contract that the engineer or architect name the owner as an additional insured under the engineer's or architect's commercial general liability insurance policy and provide any defense to the owner provided by the policy to a named insured.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 (c) does not apply to a contract for design-build services in which an owner contracts with a single entity to provide both design and construction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130, Civil Practice and Remedies Code, is amended by adding Section 130.0021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130.0021.</w:t>
      </w:r>
      <w:r>
        <w:rPr>
          <w:u w:val="single"/>
        </w:rPr>
        <w:t xml:space="preserve"> </w:t>
      </w:r>
      <w:r>
        <w:rPr>
          <w:u w:val="single"/>
        </w:rPr>
        <w:t xml:space="preserve"> </w:t>
      </w:r>
      <w:r>
        <w:rPr>
          <w:u w:val="single"/>
        </w:rPr>
        <w:t xml:space="preserve">ENGINEER'S OR ARCHITECT'S STANDARD OF CARE. </w:t>
      </w:r>
      <w:r>
        <w:rPr>
          <w:u w:val="single"/>
        </w:rPr>
        <w:t xml:space="preserve"> </w:t>
      </w:r>
      <w:r>
        <w:rPr>
          <w:u w:val="single"/>
        </w:rPr>
        <w:t xml:space="preserve">A contract for engineering or architectural services related to an improvement to real property may not require a licensed engineer or registered architect to perform professional services to a level of professional skill and care beyond that which would be provided by an ordinarily prudent engineer or architect with the same professional license under the same or similar circumstances.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130.002(c), Civil Practice and Remedies Code, as added by this Act, applies only to a covenant or promise in, in connection with, or collateral to a contract entered into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Sections 130.002(d) and 130.0021, Civil Practice and Remedies Code, as added by this Act, apply only to a contract entered into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