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87R1187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whether work is suitable for an individual for the purpose of determining the individual's unemployment compensation benefit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207.008(b), Labor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subtitle, work is not suitable and benefits may not be denied under this subtitle to an otherwise eligible individual for refusal to accept new work if:</w:t>
      </w:r>
    </w:p>
    <w:p w:rsidR="003F3435" w:rsidRDefault="0032493E">
      <w:pPr>
        <w:spacing w:line="480" w:lineRule="auto"/>
        <w:ind w:firstLine="1440"/>
        <w:jc w:val="both"/>
      </w:pPr>
      <w:r>
        <w:t xml:space="preserve">(1)</w:t>
      </w:r>
      <w:r xml:space="preserve">
        <w:t> </w:t>
      </w:r>
      <w:r xml:space="preserve">
        <w:t> </w:t>
      </w:r>
      <w:r>
        <w:t xml:space="preserve">the position offered is vacant directly because of a strike, lockout, or other labor dispute;</w:t>
      </w:r>
    </w:p>
    <w:p w:rsidR="003F3435" w:rsidRDefault="0032493E">
      <w:pPr>
        <w:spacing w:line="480" w:lineRule="auto"/>
        <w:ind w:firstLine="1440"/>
        <w:jc w:val="both"/>
      </w:pPr>
      <w:r>
        <w:t xml:space="preserve">(2)</w:t>
      </w:r>
      <w:r xml:space="preserve">
        <w:t> </w:t>
      </w:r>
      <w:r xml:space="preserve">
        <w:t> </w:t>
      </w:r>
      <w:r>
        <w:t xml:space="preserve">the wages, hours, or other conditions of the work offered are substantially less favorable to the individual than those prevailing for similar work in the locality;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as a condition of being employed, the individual is required to join a company union or to resign from or refrain from joining a bona fide labor organization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place of performance of the work offered is in violation of federal, state, or local protocols relating to the spread of infectious diseases, including COVID-19;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work offered presents an unreasonable risk of exposure to infectious diseases, including COVID-19, that cannot be mitigated with reasonable care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