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87R2535 NC-F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Ellzey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2131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retention of instruments recorded in the property records of a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13.002,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13.002.</w:t>
      </w:r>
      <w:r xml:space="preserve">
        <w:t> </w:t>
      </w:r>
      <w:r xml:space="preserve">
        <w:t> </w:t>
      </w:r>
      <w:r>
        <w:t xml:space="preserve">EFFECT </w:t>
      </w:r>
      <w:r>
        <w:rPr>
          <w:u w:val="single"/>
        </w:rPr>
        <w:t xml:space="preserve">AND RETENTION</w:t>
      </w:r>
      <w:r>
        <w:t xml:space="preserve"> OF RECORDED INSTRUMENT.  An instrument that is properly recorded in the proper county [</w:t>
      </w:r>
      <w:r>
        <w:rPr>
          <w:strike/>
        </w:rPr>
        <w:t xml:space="preserve">is</w:t>
      </w:r>
      <w:r>
        <w:t xml:space="preserve">]: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is</w:t>
      </w:r>
      <w:r>
        <w:t xml:space="preserve"> notice to all persons of the existence of the instrument;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is</w:t>
      </w:r>
      <w:r>
        <w:t xml:space="preserve"> subject to inspection by the public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permanent record retention period unless a different retention period for the instrument is provided by a records retention schedule adopted under Section 441.158, Government Code, or by other law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