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87R5849 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Rodriguez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modern sporting rifles by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229.001(a),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Notwithstanding any other law, including Section 43.002 of this code and Chapter 251, Agriculture Code, </w:t>
      </w:r>
      <w:r>
        <w:rPr>
          <w:u w:val="single"/>
        </w:rPr>
        <w:t xml:space="preserve">and except as provided by Section 229.005,</w:t>
      </w:r>
      <w:r>
        <w:t xml:space="preserve"> a municipality may not adopt regulations relating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transfer, possession, wearing, carrying, ownership, storage, transportation, licensing, or registration of firearms, air guns, knives, ammunition, or firearm or air gun supplies or accessories;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commerce in firearms, air guns, knives, ammunition, or firearm or air gun supplies or accessories;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discharge of a firearm or air gun at a sport shooting range.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229, Local Government Code, is amended by adding Section 229.005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MODERN SPORTING RIFLES IN CERTAIN MUNICIPALITIES.  (a) In this section, "modern sporting rifle"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semiautomatic centerfire rifle that has the capacity to accept a detachable magazine that has: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pistol grip that protrudes conspicuously beneath the action of the firearm;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folding or telescoping stock;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thumbhole stock;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second handgrip or a protruding grip that can be held by the non-trigger hand;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flash suppressor, muzzle break, or muzzle compensator;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grenade launcher or flare launcher;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semiautomatic centerfire rifle that has a fixed magazine that holds more than 10 rounds of ammunition;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semiautomatic centerfire rifle that has an overall length of less than 30 inches;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semiautomatic centerfire pistol that has the capacity to accept a detachable magazine and has: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second handgrip or a protruding grip that can be held by the non-trigger hand;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ammunition magazine that attaches to the pistol outside of the pistol grip;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shroud that is attached to or partially or completely encircles the barrel and that permits the shooter to hold the firearm with the non-trigger hand without being burned.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"modern sporting rifle" does not include any rifle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manually operated by bolt, pump, lever, or slide action;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rendered permanently inoperable;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an antique firearm or a curio or relic.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municipality with a population of 600,000 or more.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municipality may regulate the carrying of a partially or wholly visible modern sporting rifle on or about a person in a public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