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87R5454 AJA-F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w:t>
      </w:r>
      <w:r xml:space="preserve">
        <w:tab wTab="150" tlc="none" cTlc="0"/>
      </w:r>
      <w:r>
        <w:t xml:space="preserve">H.B.</w:t>
      </w:r>
      <w:r xml:space="preserve">
        <w:t> </w:t>
      </w:r>
      <w:r>
        <w:t xml:space="preserve">No.</w:t>
      </w:r>
      <w:r xml:space="preserve">
        <w:t> </w:t>
      </w:r>
      <w:r>
        <w:t xml:space="preserve">2144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tort of public nuisance.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4, Civil Practice and Remedies Code, is amended by adding Chapter 100F to read as follows:</w:t>
      </w:r>
    </w:p>
    <w:p w:rsidR="003F3435" w:rsidRDefault="0032493E">
      <w:pPr>
        <w:spacing w:line="480" w:lineRule="auto"/>
        <w:jc w:val="center"/>
      </w:pPr>
      <w:r>
        <w:rPr>
          <w:u w:val="single"/>
        </w:rPr>
        <w:t xml:space="preserve">CHAPTER 100F.  PUBLIC NUISANCE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100F.001.</w:t>
      </w:r>
      <w:r>
        <w:rPr>
          <w:u w:val="single"/>
        </w:rPr>
        <w:t xml:space="preserve"> </w:t>
      </w:r>
      <w:r>
        <w:rPr>
          <w:u w:val="single"/>
        </w:rPr>
        <w:t xml:space="preserve"> </w:t>
      </w:r>
      <w:r>
        <w:rPr>
          <w:u w:val="single"/>
        </w:rPr>
        <w:t xml:space="preserve">PURPOSE; ABROGATION OF COMMON LAW; CONFLICTS.  (a) </w:t>
      </w:r>
      <w:r>
        <w:rPr>
          <w:u w:val="single"/>
        </w:rPr>
        <w:t xml:space="preserve"> </w:t>
      </w:r>
      <w:r>
        <w:rPr>
          <w:u w:val="single"/>
        </w:rPr>
        <w:t xml:space="preserve">The purpose of this chapter is to ensure that the tort of public nuisance is defined clearly and in a manner consistent with its traditional scope for purposes of its use as a cause of action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abrogates the common law of public nuisance and supersedes any other statute to the extent of a conflict.  This chapter provides the only remedies for the tort of public nuisance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chapter does not affect: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availability of a remedy provided by Chapter 125 or another statute for conditions or activities involving criminal conduct and designated by statute as a common nuisance or public nuisance;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authority of a governmental entity to take a regulatory or enforcement action authorized by statute in connection with a condition designated by statute as a public nuisance.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100F.002.</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"Established public right" means a right, commonly held by all members of the public, to the use of public land, air, or water.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"Government attorney" means an attorney regularly employed on a salaried basis by this state or a political subdivision of this state. </w:t>
      </w:r>
      <w:r>
        <w:rPr>
          <w:u w:val="single"/>
        </w:rPr>
        <w:t xml:space="preserve"> </w:t>
      </w:r>
      <w:r>
        <w:rPr>
          <w:u w:val="single"/>
        </w:rPr>
        <w:t xml:space="preserve">The term does not include an attorney hired on a contingency fee or hourly basis or an attorney hired on a short-term or temporary basis, including a legal fellow, special prosecutor, or other similar provisional position.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"Public nuisance" means an unlawful condition that violates an established public right.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"Special injury" means an injury that is different in kind, not just in degree, from an injury suffered by the public at large.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"Unlawful condition" means an ongoing circumstance or effect of an instrumentality that is expressly prohibited by the laws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100F.003.</w:t>
      </w:r>
      <w:r>
        <w:rPr>
          <w:u w:val="single"/>
        </w:rPr>
        <w:t xml:space="preserve"> </w:t>
      </w:r>
      <w:r>
        <w:rPr>
          <w:u w:val="single"/>
        </w:rPr>
        <w:t xml:space="preserve"> </w:t>
      </w:r>
      <w:r>
        <w:rPr>
          <w:u w:val="single"/>
        </w:rPr>
        <w:t xml:space="preserve">LIABILITY.  A person may be held liable for a public nuisance only if the person causes an unlawful condition and controls that unlawful condition at the time the condition violates an established public right.</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100F.004.</w:t>
      </w:r>
      <w:r>
        <w:rPr>
          <w:u w:val="single"/>
        </w:rPr>
        <w:t xml:space="preserve"> </w:t>
      </w:r>
      <w:r>
        <w:rPr>
          <w:u w:val="single"/>
        </w:rPr>
        <w:t xml:space="preserve"> </w:t>
      </w:r>
      <w:r>
        <w:rPr>
          <w:u w:val="single"/>
        </w:rPr>
        <w:t xml:space="preserve">LIMITATIONS ON LIABILITY.  (a) </w:t>
      </w:r>
      <w:r>
        <w:rPr>
          <w:u w:val="single"/>
        </w:rPr>
        <w:t xml:space="preserve"> </w:t>
      </w:r>
      <w:r>
        <w:rPr>
          <w:u w:val="single"/>
        </w:rPr>
        <w:t xml:space="preserve">Conditions arising from the following conduct are not considered unlawful conditions for purposes of a public nuisance action in this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activity expressly authorized or encouraged by a statute, ordinance, rule, or other similar measure adopted by this state, a political subdivision of this state, the United States, or a regulatory agency of this state or the United States;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lawful manufacturing, distributing, selling, advertising, or promoting of a lawful product.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is not exhaustive. It may not be presumed that a person may be held liable for a public nuisance arising from conduct or conditions not listed in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aggregation of multiple individual injuries or private nuisances do not constitute violations of an established public right for purposes of a public nuisance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100F.005.</w:t>
      </w:r>
      <w:r>
        <w:rPr>
          <w:u w:val="single"/>
        </w:rPr>
        <w:t xml:space="preserve"> </w:t>
      </w:r>
      <w:r>
        <w:rPr>
          <w:u w:val="single"/>
        </w:rPr>
        <w:t xml:space="preserve"> </w:t>
      </w:r>
      <w:r>
        <w:rPr>
          <w:u w:val="single"/>
        </w:rPr>
        <w:t xml:space="preserve">ENFORCEMENT BY GOVERNMENT.  (a) </w:t>
      </w:r>
      <w:r>
        <w:rPr>
          <w:u w:val="single"/>
        </w:rPr>
        <w:t xml:space="preserve"> </w:t>
      </w:r>
      <w:r>
        <w:rPr>
          <w:u w:val="single"/>
        </w:rPr>
        <w:t xml:space="preserve">Except as provided by Subsection (b), only the state or a political subdivision of this state may bring a public nuisance action and may do so only by a government attorney of the relevant jurisdiction.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Absent a clear and convincing showing otherwise, it shall be presumed that only a single governmental entity within this state has standing to file or maintain a public nuisance action relating to the real property or waterway to which the public nuisance relates.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bring a public nuisance action, the state or the political subdivision must have substantial ownership interest in or authority over the real property or waterway, or ancillary space related to the real property or waterway, to which the public nuisance relates.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financial expenditure made by the state or a political subdivision related to the remediation, abatement, or injunction of an unlawful condition does not constitute an injury sufficient to confer standing to file or maintain a public nuisance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100F.006.</w:t>
      </w:r>
      <w:r>
        <w:rPr>
          <w:u w:val="single"/>
        </w:rPr>
        <w:t xml:space="preserve"> </w:t>
      </w:r>
      <w:r>
        <w:rPr>
          <w:u w:val="single"/>
        </w:rPr>
        <w:t xml:space="preserve"> </w:t>
      </w:r>
      <w:r>
        <w:rPr>
          <w:u w:val="single"/>
        </w:rPr>
        <w:t xml:space="preserve">ENFORCEMENT BY PRIVATE CITIZEN.  (a) </w:t>
      </w:r>
      <w:r>
        <w:rPr>
          <w:u w:val="single"/>
        </w:rPr>
        <w:t xml:space="preserve"> </w:t>
      </w:r>
      <w:r>
        <w:rPr>
          <w:u w:val="single"/>
        </w:rPr>
        <w:t xml:space="preserve">A private citizen may maintain an action in the private citizen's individual capacity to enjoin a public nuisance only if the private citizen can show a special injury by clear and convincing evidence.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As a matter of law, use of or damage to public land, air, or water with only personal, spiritual, cultural, or emotional significance to the individual is not a special injury for purposes of a public nuisance claim.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individual may not seek relief for both a public nuisance under the special injury exception provided by this section and for a private nuisance for a harm related to the same unlawful condition.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100F.007.</w:t>
      </w:r>
      <w:r>
        <w:rPr>
          <w:u w:val="single"/>
        </w:rPr>
        <w:t xml:space="preserve"> </w:t>
      </w:r>
      <w:r>
        <w:rPr>
          <w:u w:val="single"/>
        </w:rPr>
        <w:t xml:space="preserve"> </w:t>
      </w:r>
      <w:r>
        <w:rPr>
          <w:u w:val="single"/>
        </w:rPr>
        <w:t xml:space="preserve">REMEDIES.  (a) </w:t>
      </w:r>
      <w:r>
        <w:rPr>
          <w:u w:val="single"/>
        </w:rPr>
        <w:t xml:space="preserve"> </w:t>
      </w:r>
      <w:r>
        <w:rPr>
          <w:u w:val="single"/>
        </w:rPr>
        <w:t xml:space="preserve">Remedies in a public nuisance action are limited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injunctive relief sufficient to prevent the unlawful condition from violating an established public right;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monetary and nonmonetary resources necessary to abate the public nuisance, if quantifiable and based on relevant and reliable cost factors, which may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speculative estimates of current needs;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costs of future remediation;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costs of investigating and identifying the existence of an unlawful condition;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costs of public services provided as a result of the public nuisance;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damages of any kind, except for compensatory damages for a special injury established in accordance with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Subsection (a)(2), the necessity of monetary resources to abate the public nuisance must be established by the plaintiff by clear and convincing evidence.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Chapter 125, Civil Practice and Remedies Code, is amended to read as follows:</w:t>
      </w:r>
    </w:p>
    <w:p w:rsidR="003F3435" w:rsidRDefault="0032493E">
      <w:pPr>
        <w:spacing w:line="480" w:lineRule="auto"/>
        <w:jc w:val="center"/>
      </w:pPr>
      <w:r>
        <w:t xml:space="preserve">CHAPTER 125. </w:t>
      </w:r>
      <w:r>
        <w:rPr>
          <w:u w:val="single"/>
        </w:rPr>
        <w:t xml:space="preserve">REMEDIES FOR CERTAIN CONDITIONS AND CONDUCT DESIGNATED AS</w:t>
      </w:r>
      <w:r>
        <w:t xml:space="preserve"> COMMON </w:t>
      </w:r>
      <w:r>
        <w:rPr>
          <w:u w:val="single"/>
        </w:rPr>
        <w:t xml:space="preserve">OR</w:t>
      </w:r>
      <w:r>
        <w:t xml:space="preserve"> [</w:t>
      </w:r>
      <w:r>
        <w:rPr>
          <w:strike/>
        </w:rPr>
        <w:t xml:space="preserve">AND</w:t>
      </w:r>
      <w:r>
        <w:t xml:space="preserve">] PUBLIC </w:t>
      </w:r>
      <w:r>
        <w:rPr>
          <w:u w:val="single"/>
        </w:rPr>
        <w:t xml:space="preserve">NUISANCE</w:t>
      </w:r>
      <w:r>
        <w:t xml:space="preserve"> [</w:t>
      </w:r>
      <w:r>
        <w:rPr>
          <w:strike/>
        </w:rPr>
        <w:t xml:space="preserve">NUISANCES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cause of action that accrues on or after the effective date of this Act.  A cause of action that accrued before the effective date of this Act is governed by the law applicable to the cause of action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