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of certain controlled substance offenses committed in a drug-free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481.134, Health and Safety Code, is amended by amending Subsections (b), (c), (d), (e), and (f) and adding Subsection (i)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500</w:t>
      </w:r>
      <w:r>
        <w:t xml:space="preserve"> [</w:t>
      </w:r>
      <w:r>
        <w:rPr>
          <w:strike/>
        </w:rPr>
        <w:t xml:space="preserve">1,000</w:t>
      </w:r>
      <w:r>
        <w:t xml:space="preserve">]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w:t>
      </w:r>
      <w:r>
        <w:rPr>
          <w:strike/>
        </w:rPr>
        <w:t xml:space="preserve">or video arcade facility</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w:t>
      </w:r>
      <w:r>
        <w:rPr>
          <w:u w:val="single"/>
        </w:rPr>
        <w:t xml:space="preserve">481.115(c), (d), (e), or (f)</w:t>
      </w:r>
      <w:r>
        <w:t xml:space="preserve"> [</w:t>
      </w:r>
      <w:r>
        <w:rPr>
          <w:strike/>
        </w:rPr>
        <w:t xml:space="preserve">481.115(c)-(f)</w:t>
      </w:r>
      <w:r>
        <w:t xml:space="preserve">],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500</w:t>
      </w:r>
      <w:r>
        <w:t xml:space="preserve"> [</w:t>
      </w:r>
      <w:r>
        <w:rPr>
          <w:strike/>
        </w:rPr>
        <w:t xml:space="preserve">1,000</w:t>
      </w:r>
      <w:r>
        <w:t xml:space="preserve">]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w:t>
      </w:r>
      <w:r>
        <w:rPr>
          <w:strike/>
        </w:rPr>
        <w:t xml:space="preserve">481.115(b), 481.1151(b)(1), 481.116(b),</w:t>
      </w:r>
      <w:r>
        <w:t xml:space="preserve">]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500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rPr>
          <w:strike/>
        </w:rPr>
        <w:t xml:space="preserve">481.117(b),</w:t>
      </w:r>
      <w:r>
        <w:t xml:space="preserve">] 481.119(a) </w:t>
      </w:r>
      <w:r>
        <w:rPr>
          <w:u w:val="single"/>
        </w:rPr>
        <w:t xml:space="preserve">or</w:t>
      </w:r>
      <w:r>
        <w:t xml:space="preserve">[</w:t>
      </w:r>
      <w:r>
        <w:rPr>
          <w:strike/>
        </w:rPr>
        <w:t xml:space="preserve">,</w:t>
      </w:r>
      <w:r>
        <w:t xml:space="preserve">] 481.120(b)(2)[</w:t>
      </w:r>
      <w:r>
        <w:rPr>
          <w:strike/>
        </w:rPr>
        <w:t xml:space="preserve">, or 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500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w:t>
      </w:r>
      <w:r>
        <w:rPr>
          <w:strike/>
        </w:rPr>
        <w:t xml:space="preserve">481.118(b),</w:t>
      </w:r>
      <w:r>
        <w:t xml:space="preserve">] 481.119(b) </w:t>
      </w:r>
      <w:r>
        <w:rPr>
          <w:u w:val="single"/>
        </w:rPr>
        <w:t xml:space="preserve">or</w:t>
      </w:r>
      <w:r>
        <w:t xml:space="preserve">[</w:t>
      </w:r>
      <w:r>
        <w:rPr>
          <w:strike/>
        </w:rPr>
        <w:t xml:space="preserve">,</w:t>
      </w:r>
      <w:r>
        <w:t xml:space="preserve">] 481.120(b)(1)[</w:t>
      </w:r>
      <w:r>
        <w:rPr>
          <w:strike/>
        </w:rPr>
        <w:t xml:space="preserve">, or 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500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Punishment may not be increased under this section if it is shown on the trial of the offense that the defendant was driving or otherwise in transit through an area described by Subsection (b)(1) or (2), (c)(1), (d)(1), (e)(1), or (f)(1) at the time the offense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18.19(d),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licensed under Chapter 1802, Occupations Code, 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playground, school, [</w:t>
      </w:r>
      <w:r>
        <w:rPr>
          <w:strike/>
        </w:rPr>
        <w:t xml:space="preserve">video arcade facility,</w:t>
      </w:r>
      <w:r>
        <w:t xml:space="preserve">] or youth center, as those terms are defined by Section 481.134,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video arcade facility, as defined by Article 42A.453;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42A.453(a),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"Playground,"</w:t>
      </w:r>
      <w:r>
        <w:t xml:space="preserve">[</w:t>
      </w:r>
      <w:r>
        <w:rPr>
          <w:strike/>
        </w:rPr>
        <w:t xml:space="preserve">, "playground,"</w:t>
      </w:r>
      <w:r>
        <w:t xml:space="preserve">]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 arcade facility" means any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open to the public, including persons who are 17 years of age or younger;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intended primarily for the use of pinball or video machines;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at least three pinball or video machines.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42A.502(a),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"Playground,"</w:t>
      </w:r>
      <w:r>
        <w:t xml:space="preserve">[</w:t>
      </w:r>
      <w:r>
        <w:rPr>
          <w:strike/>
        </w:rPr>
        <w:t xml:space="preserve">, "playground,"</w:t>
      </w:r>
      <w:r>
        <w:t xml:space="preserve">]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 arcade facility" has the meaning assigned by Article 42A.453.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508.187(f),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"Playground,"</w:t>
      </w:r>
      <w:r>
        <w:t xml:space="preserve">[</w:t>
      </w:r>
      <w:r>
        <w:rPr>
          <w:strike/>
        </w:rPr>
        <w:t xml:space="preserve">, "playground,"</w:t>
      </w:r>
      <w:r>
        <w:t xml:space="preserve">]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 arcade facility" has the meaning assigned by Article 42A.453,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508.225(d),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"Playground,"</w:t>
      </w:r>
      <w:r>
        <w:t xml:space="preserve">[</w:t>
      </w:r>
      <w:r>
        <w:rPr>
          <w:strike/>
        </w:rPr>
        <w:t xml:space="preserve">, "playground,"</w:t>
      </w:r>
      <w:r>
        <w:t xml:space="preserve">]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 arcade facility" has the meaning assigned by Article 42A.453,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341.906(a), Local Government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"Playground,"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"Video arcade facility" has the meaning assigned by Article 42A.453,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71.028(a), Penal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"playground," "premises," "school," [</w:t>
      </w:r>
      <w:r>
        <w:rPr>
          <w:strike/>
        </w:rPr>
        <w:t xml:space="preserve">"video arcade facility,"</w:t>
      </w:r>
      <w:r>
        <w:t xml:space="preserve">] and "youth center" have the meanings assigned by Section 481.134,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 arcade facility" has the meaning assigned by Article 42A.453, Code of Criminal Procedure.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481.134(a)(6), Health and Safety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