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87R7284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a United States flag or Texas flag by a governmental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2158, Government Code, is amended by adding Subchapter I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I. PURCHASE OF UNITED STATES FLAG OR STATE FLAG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2158.501.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FLAG PROCUREMENT BY STATE AGENCY. (a) In this subchapter, "state agency"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department, commission, board, office, or other agency in the executive branch created by the constitution or a statute of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supreme court, the court of criminal appeals, a court of appeals, or the Texas Judicial Council; 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university system or an institution of higher education as defined by Section 61.003,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United States flag purchased by a state agency must be manufactured in the United States using materials grown, produced, or manufactured in the United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Texas state flag purchased by a state agency must be manufactured in this state using materials grown, produced, or manufactured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271, Local Government Code, is amended by adding Section 271.909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271.909.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FLAG PROCUREMENT BY GOVERNMENTAL AGENCY. (a)   In this section, "governmental agency" has the meaning assigned by Section 271.003.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United States flag purchased by a governmental agency must be manufactured in the United States using materials grown, produced, or manufactured in the United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Texas state flag purchased by a governmental agency must be manufactured in this state using materials grown, produced, or manufactured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2158.501, Government Code, and Section 271.909, Local Government Code, as added by this Act, apply only to the purchase of a United States flag or Texas flag made or a contract for the purchase of a United States flag or Texas flag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