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87R7289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Raymond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2158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on energy-efficient and energy-saving information technologies.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DEFINITIONS.  In this Act: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"Commission" means the Texas Facilities Commission.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"State agency" means a department, commission, board, office, council, authority, or other agency in the executive, legislative, or judicial branch of state government, including a university system or institution of higher education as defined by Section 61.003, Education Code, that is created by the constitution or a statute of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STUDY REGARDING ENERGY-EFFICIENT AND ENERGY-SAVING INFORMATION TECHNOLOGY. (a)  In collaboration with the Department of Information Resources, the commission shall conduct a study to develop a strategy for the maintenance, purchase, and use by a state agency of energy-efficient and energy-saving information technologies at state-owned and state-operated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conducting the study, the commission shall consider: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advanced metering infrastructure;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energy-efficient data center strategies and methods of increasing asset and infrastructure use;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advanced power management tools;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building information modeling, including building energy management;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secure telework and travel substitution technologies;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mechanisms to ensure that a state agency realizes the agency's energy cost savings achieved through use of energy-efficient and energy-saving information technologies.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study must identify: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performance goals for evaluating the efforts of state agencies in improving the maintenance, purchase, and use of energy-efficient and energy-saving information technology;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recommended best practices for use in improving the maintenance, purchase, and use of energy-efficient and energy-saving information technology;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steps necessary to implement recommended best practices;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benefits to this state in implementing the recommended best practices.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REPORT TO THE LEGISLATURE.  Not later than December 1, 2022, the commission shall submit a report to the governor, the lieutenant governor, the speaker of the house of representatives, and each standing committee of the legislature with jurisdiction over state-owned and state-operated facilities that includes the results of the study  and any recommendations of the commission related to the study and statutory changes necessary to implement needed changes to those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EXPIRATION.  This Act expires September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EFFECTIVE DATE. 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