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87R7237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Department of Information Resources to conduct a study concerning the cybersecurity of small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 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"Department" means the Department of Information Resources.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"Tax incentive" means any exemption, deduction, credit, exclusion, waiver, rebate, discount, deferral, or other abatement or reduction of state tax liability of a business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CONCERNING CYBERSECURITY OF SMALL BUSINESSES.  (a)  The department, in collaboration with the Texas Workforce Commission, shall conduct a study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assess how small businesses can improve their ability to protect against cybersecurity risks and threats to the businesses' supply chain and to mitigate and recover from cybersecurity incidents;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determine the feasibility of establishing a grant program for small businesses to receive funds to upgrade their cybersecurity infrastructure and to participate in cybersecurity awareness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conducting the study, the department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consider the current best practices used by small businesses for cybersecurity controls for their information systems to protect against supply chain vulnerabilities, which may include best practices related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software integrity and authenticity;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vendor risk management and procurement controls, including notification by vendors of any cybersecurity incidents related to the vendor's products and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barriers or challenges for small businesses in purchasing or acquiring cybersecurity products or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consider and estimate the cost of any available tax incentives or other state incentives to increase the ability of small businesses to acquire products and services that promote cybersecurity;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assess the availability of resources small businesses need to respond to and recover from a cybersecurity event;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study the impact of cybersecurity incidents that have affected small businesses, including the resulting costs to small businesses;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to the extent possible, identify any emerging cybersecurity risks and threats to small businesses resulting from the deployment of new technologies;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study any other issue the department and the Texas Workforce Commission determine would have a future impact on cybersecurity for small businesses with supply chain vulnerabilities.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determining the feasibility of establishing a grant program described by Subsection (a)(2) of this section, the study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identify the most significant and widespread cybersecurity incidents impacting small businesses, vendors, and others in the supply chain network of small businesses;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consider the amount small businesses currently spend on cybersecurity products and services and the availability and market price of those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 the type and frequency of training necessary to protect small businesses from supply chain cybersecurity risks and threats.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REPORT.  (a)  Not later than December 31, 2022, the department shall submit to the standing committees of the senate and house of representatives with jurisdiction over small businesses and cybersecurity a report that contains: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results of the study conducted under Section 2 of this Act, including the feasibility of establishing a grant program described by Subsection (a)(2) of that section;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recommendations for best practices and controls for small businesses to implement in order to update and protect their information systems against cybersecurity risks and threats.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make the report available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 OF ACT.  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