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87R7407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efficiency audits of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531.005521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531.005521.</w:t>
      </w:r>
      <w:r>
        <w:rPr>
          <w:u w:val="single"/>
        </w:rPr>
        <w:t xml:space="preserve"> </w:t>
      </w:r>
      <w:r>
        <w:rPr>
          <w:u w:val="single"/>
        </w:rPr>
        <w:t xml:space="preserve"> </w:t>
      </w:r>
      <w:r>
        <w:rPr>
          <w:u w:val="single"/>
        </w:rPr>
        <w:t xml:space="preserve">EFFICIENCY AUDIT.  (a)  For purposes of this section, "efficiency audit" means an investigation of the operations of the commission to examine fiscal management, efficiency, implementation of programs the commission administers and the incidence of fraud, waste, and abuse in those programs, and utilization of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2022 and every sixth year after that year, an external auditor selected under Subsection (f) shall conduct an efficiency audit.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year in which an efficiency audit is completed as  required by this section, the efficiency audit satisfies the commission's annual internal audit requirements under Section 531.00552.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pay the costs associated with an efficiency audit required under this section using existing resources.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auditor shall ensure that the external auditor conducts the efficiency audit in accordance with the requirements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the year in which an efficiency audit is required under this section, the state auditor shall select an external auditor to conduct the efficiency audit.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external auditor shall be independent of the commission's direction.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external auditor shall complete the audit not later than the 90th day after the date the auditor is selected.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Legislative Budget Board shall establish the scope of the efficiency audit and determine the areas of investigation for the audit,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reviewing the commission's resources to determine whether those resources: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being used effectively and efficiently to achieve desired outcomes for individuals receiving benefits under a program the commission administers;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not being used for purposes other than the intended goals of the applicable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cost savings or reallocations of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opportunities for improving services through consolidation of essential functions, outsourcing, and elimination of duplicative efforts;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whether the commission administers each program in a manner consistent with any stated legislative intent,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November 1 of the year an efficiency audit is conducted, the external auditor shall prepare and submit a report of the audit and recommendations for efficiency improvements to the governor, the Legislative Budget Board, the state auditor, the executive commissioner, and the chairs of the House Human Services Committee and the Senate Health and Human Services Committee.  The executive commissioner and the state auditor shall publish the report, recommendations, and full audit on the commission's and the state auditor's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