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ticket sales for charitable raffles conducted by the charitable foundations of certain professional sports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2004.004,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Raffle tickets for a charitable raffle conducted under Subsection (a) may be sold at the home venue and through interactive media including but not limited to an app or website of the professional sports team associated with the foundation conducting the raffle provided that such interactive media sales are limited to only individuals physically located within the State of Texas at the time of the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2004.002(1-a) and 2004.009(a), Occupations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 2004.009(a), Occupations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