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hotel occupancy tax imposed by certain counties and the use of revenue from that tax; reducing the maximum rate of that tax;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 Tax Code, is amended by amending Subsection (d) and adding Subsection (w) to read as follows:</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w:t>
      </w:r>
      <w:r>
        <w:rPr>
          <w:u w:val="single"/>
        </w:rPr>
        <w:t xml:space="preserve">(a)(6)</w:t>
      </w:r>
      <w:r>
        <w:t xml:space="preserve"> [</w:t>
      </w:r>
      <w:r>
        <w:rPr>
          <w:strike/>
        </w:rPr>
        <w:t xml:space="preserve">(a)(4), (6)</w:t>
      </w:r>
      <w:r>
        <w:t xml:space="preserve">], (8), (9), (10), (11), (14), (15), (17), (19), (20), (21), (23), or (29) to impose the tax does not apply to a hotel located in a municipality that imposes a tax under Chapter 351 applicable to the hotel. 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40,000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9,000.</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 county with a population of more than 650,000 that is adjacent to two counties, each of which has a population of more than 1.8 million, may impose a tax as provided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352.003, Tax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tax rate in a county authorized to impose the tax under Section 352.002(a)(4) may not exceed two percent of the price paid for a room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352, Tax Code, is amended by adding Section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w:t>
      </w:r>
      <w:r>
        <w:rPr>
          <w:u w:val="single"/>
        </w:rPr>
        <w:t xml:space="preserve"> </w:t>
      </w:r>
      <w:r>
        <w:rPr>
          <w:u w:val="single"/>
        </w:rPr>
        <w:t xml:space="preserve">CERTAIN COUNTIES CONTAINING AN INDIAN RESERVATION. (a) </w:t>
      </w:r>
      <w:r>
        <w:rPr>
          <w:u w:val="single"/>
        </w:rPr>
        <w:t xml:space="preserve"> </w:t>
      </w:r>
      <w:r>
        <w:rPr>
          <w:u w:val="single"/>
        </w:rPr>
        <w:t xml:space="preserve">In addition to the purposes authorized by this chapter, the revenue from a tax imposed under this chapter by a county authorized to impose the tax under Section 352.002(a)(4) may be used to make repairs and improvements to the county airport or to provide reimbursement for repairs and improvements to the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after the 10th anniversary of the date the county first uses the revenue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