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87R16892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2181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2181:</w:t>
      </w: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C.S.H.B.</w:t>
      </w:r>
      <w:r xml:space="preserve">
        <w:t> </w:t>
      </w:r>
      <w:r>
        <w:t xml:space="preserve">No.</w:t>
      </w:r>
      <w:r xml:space="preserve">
        <w:t> </w:t>
      </w:r>
      <w:r>
        <w:t xml:space="preserve">2181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of a decedent's remains.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Remains interred in a cemetery may be removed from a plot in the cemetery with the written consent of the cemetery organization operating the cemetery and the written consent of the current plot owner or owners and the following persons, in the priority listed:</w:t>
      </w:r>
    </w:p>
    <w:p w:rsidR="003F3435" w:rsidRDefault="0032493E">
      <w:pPr>
        <w:spacing w:line="480" w:lineRule="auto"/>
        <w:ind w:firstLine="1440"/>
        <w:jc w:val="both"/>
      </w:pPr>
      <w:r>
        <w:t xml:space="preserve">(1)</w:t>
      </w:r>
      <w:r xml:space="preserve">
        <w:t> </w:t>
      </w:r>
      <w:r xml:space="preserve">
        <w:t> </w:t>
      </w:r>
      <w:r>
        <w:rPr>
          <w:u w:val="single"/>
        </w:rPr>
        <w:t xml:space="preserve">the person designated in a written instrument signed by the decedent, as described by Section 711.002(a)(1);</w:t>
      </w:r>
    </w:p>
    <w:p w:rsidR="003F3435" w:rsidRDefault="0032493E">
      <w:pPr>
        <w:spacing w:line="480" w:lineRule="auto"/>
        <w:ind w:firstLine="1440"/>
        <w:jc w:val="both"/>
      </w:pPr>
      <w:r>
        <w:rPr>
          <w:u w:val="single"/>
        </w:rPr>
        <w:t xml:space="preserve">(2)</w:t>
      </w:r>
      <w:r xml:space="preserve">
        <w:t> </w:t>
      </w:r>
      <w:r xml:space="preserve">
        <w:t> </w:t>
      </w:r>
      <w:r>
        <w:t xml:space="preserve">the decedent's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one of</w:t>
      </w:r>
      <w:r>
        <w:t xml:space="preserve"> [</w:t>
      </w:r>
      <w:r>
        <w:rPr>
          <w:strike/>
        </w:rPr>
        <w:t xml:space="preserve">(2)</w:t>
      </w:r>
      <w:r>
        <w:t xml:space="preserve">] the decedent's surviving adult children;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 one of</w:t>
      </w:r>
      <w:r>
        <w:t xml:space="preserve"> [</w:t>
      </w:r>
      <w:r>
        <w:rPr>
          <w:strike/>
        </w:rPr>
        <w:t xml:space="preserve">(3)</w:t>
      </w:r>
      <w:r>
        <w:t xml:space="preserve">] the decedent's surviving parents;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one of</w:t>
      </w:r>
      <w:r>
        <w:t xml:space="preserve"> [</w:t>
      </w:r>
      <w:r>
        <w:rPr>
          <w:strike/>
        </w:rPr>
        <w:t xml:space="preserve">(4)</w:t>
      </w:r>
      <w:r>
        <w:t xml:space="preserve">] the decedent's </w:t>
      </w:r>
      <w:r>
        <w:rPr>
          <w:u w:val="single"/>
        </w:rPr>
        <w:t xml:space="preserve">surviving</w:t>
      </w:r>
      <w:r>
        <w:t xml:space="preserve"> adult siblings;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one of the duly qualified executors or administrators of the decedent's estate;</w:t>
      </w:r>
      <w: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w:t>
      </w:r>
      <w:r>
        <w:t xml:space="preserve"> [</w:t>
      </w:r>
      <w:r>
        <w:rPr>
          <w:strike/>
        </w:rPr>
        <w:t xml:space="preserve">(5) the</w:t>
      </w:r>
      <w:r>
        <w:t xml:space="preserve">] adult person in the next degree of kinship in the order named by law to inherit the estate of the decedent.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