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87R3526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state's contributions to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815.403(a),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each fiscal year, the state shall contribute to the retirement system: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amount equal to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7.4</w:t>
      </w:r>
      <w:r>
        <w:t xml:space="preserve">] percent of the total compensation of all members of the retirement system for that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money to pay lump-sum death benefits for retirees under Section 814.501;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amount for the law enforcement and custodial officer supplemental retirement fund equal to 2.13 percent of the aggregate state compensation of all custodial and law enforcement officers for that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money necessary for the administration of the law enforcement and custodial officer supplemental retirement fund;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money for service credit not previously established, as provided by Section 813.202(c) or 813.302(d)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amount adopted by the board of trustees under Section 815.4031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815, Government Code, is amended by adding Section 815.4031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815.4031.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ACTUARIALLY DETERMINED STATE CONTRIBUTION AMOUNT.  (a) </w:t>
      </w:r>
      <w:r>
        <w:rPr>
          <w:u w:val="single"/>
        </w:rPr>
        <w:t xml:space="preserve"> </w:t>
      </w:r>
      <w:r>
        <w:rPr>
          <w:u w:val="single"/>
        </w:rPr>
        <w:t xml:space="preserve">For the fiscal year beginning September 1, 2021, and for each subsequent fiscal year: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actuary designated under Section 815.206 shall recommend to the board of trustees an actuarially determined contribution amount for review and adoption as the state contribution amount under Section 815.403(a)(6);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adopt as the state contribution amount under Section 815.403(a)(6) the actuarially determined contribution amount recommended by the actuary under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(a)(1), an actuarially determined contribution amount reflects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state's normal cost of projected  benefits for the fiscal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state's portion of the total payment toward the unfunded actuarial accrued liabilities of the retirement system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attributable to the fiscal year;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sufficient to amortize the unfunded actuarial accrued liabilities of the system in a period that does not exceed 30 years by one or more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actuarially determined contribution amount recommended by the actuary under Subsection (a)(1) must be based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reasonable actuarial assumptions and methods;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tables adopted by the board under Section 815.105;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funding policy adopted by the board under Section 802.2011.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