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87R8105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with a population of more than 40,000 and less than 300,000 that is adjacent to a county described by Subdivision (4)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