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87R8005 SLB-D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Hull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2197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statement of residence required to vote.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63.0011, Election Code, is amended by adding Subsection (c-1)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statement described by Subsection (c) must include a field for the voter to enter the voter's current county of residence.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As soon as practicable after the effective date of this Act, the secretary of state shall adopt a statement of residence form as required by Section 63.0011, Election Code, as amended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2197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