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87R6502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in suits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affects rights and duties of a parent in a suit filed by the Department of Family and Protective Services under Chapter 262, Family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105.001(e), Family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Section 51.014(a)(15), Civil Practice and Remedies Code, temporary</w:t>
      </w:r>
      <w:r>
        <w:t xml:space="preserve"> [</w:t>
      </w:r>
      <w:r>
        <w:rPr>
          <w:strike/>
        </w:rPr>
        <w:t xml:space="preserve">Temporary</w:t>
      </w:r>
      <w:r>
        <w:t xml:space="preserve">] orders rendered under this section are not subject to interlocutory appeal.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51.014(a)(15), Civil Practice and Remedies Code, a</w:t>
      </w:r>
      <w:r>
        <w:t xml:space="preserve"> [</w:t>
      </w:r>
      <w:r>
        <w:rPr>
          <w:strike/>
        </w:rPr>
        <w:t xml:space="preserve">A</w:t>
      </w:r>
      <w:r>
        <w:t xml:space="preserve">] temporary order rendered under this section is not subject to interlocutory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201.204(a),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motion of a party or the associate judge, an associate judge </w:t>
      </w:r>
      <w:r>
        <w:rPr>
          <w:u w:val="single"/>
        </w:rPr>
        <w:t xml:space="preserve">shall</w:t>
      </w:r>
      <w:r>
        <w:t xml:space="preserve"> [</w:t>
      </w:r>
      <w:r>
        <w:rPr>
          <w:strike/>
        </w:rPr>
        <w:t xml:space="preserve">may</w:t>
      </w:r>
      <w:r>
        <w:t xml:space="preserve">] refer </w:t>
      </w:r>
      <w:r>
        <w:rPr>
          <w:u w:val="single"/>
        </w:rPr>
        <w:t xml:space="preserve">any</w:t>
      </w:r>
      <w:r>
        <w:t xml:space="preserve"> [</w:t>
      </w:r>
      <w:r>
        <w:rPr>
          <w:strike/>
        </w:rPr>
        <w:t xml:space="preserve">a complex</w:t>
      </w:r>
      <w:r>
        <w:t xml:space="preserve">] case back to the referring court [</w:t>
      </w:r>
      <w:r>
        <w:rPr>
          <w:strike/>
        </w:rPr>
        <w:t xml:space="preserve">for final disposition after recommending temporary orders for the protection of a child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262.206, Family Code, as added by Chapter 317 (H.B. 7),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262.206.</w:t>
      </w:r>
      <w:r xml:space="preserve">
        <w:t> </w:t>
      </w:r>
      <w:r xml:space="preserve">
        <w:t> </w:t>
      </w:r>
      <w:r>
        <w:t xml:space="preserve">EX PARTE HEARINGS [</w:t>
      </w:r>
      <w:r>
        <w:rPr>
          <w:strike/>
        </w:rPr>
        <w:t xml:space="preserve">PROHIBITED</w:t>
      </w:r>
      <w:r>
        <w:t xml:space="preserve">].  </w:t>
      </w:r>
      <w:r>
        <w:rPr>
          <w:u w:val="single"/>
        </w:rPr>
        <w:t xml:space="preserve">(a)</w:t>
      </w:r>
      <w:r>
        <w:t xml:space="preserve">  Unless otherwise authorized by this chapter or other law, a hearing held by a court in a suit under this chapter may not be ex parte.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holds an authorized ex parte hearing in a suit under this chapter, the court shall provide a court reporter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transcribe the hearing, including all testimony provided during the hearing, all objections, the court's ruling on each objection and any explanation relating to the objection, and exceptions to the rulings;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hearing transcript to the court;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the hearing transcript until the third anniversary of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transcript produced under Subsection (b) is a document that contains matters relevant to the subject matter of the action for purposes of Rule 192.3, Texas Rules of Civil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