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87R16630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 Holland, Toth</w:t>
      </w:r>
      <w:r xml:space="preserve">
        <w:tab wTab="150" tlc="none" cTlc="0"/>
      </w:r>
      <w:r>
        <w:t xml:space="preserve">H.B.</w:t>
      </w:r>
      <w:r xml:space="preserve">
        <w:t> </w:t>
      </w:r>
      <w:r>
        <w:t xml:space="preserve">No.</w:t>
      </w:r>
      <w:r xml:space="preserve">
        <w:t> </w:t>
      </w:r>
      <w:r>
        <w:t xml:space="preserve">2205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applicability of the International Swimming Pool and Spa Code to certain pools, spas, and other swimming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341.0645, Health and Safety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by rule pool safety standards necessary to prevent drowning. The standards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at least as stringent as those imposed under the federal Virginia Graeme Baker Pool and Spa Safety Act (15 U.S.C. Section 8001 et seq.)</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 version of the International Swimming Pool and Spa Code, as defined by Section 214.103, Local Government Code, that is not older than the version in effect on May 1, 2019</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the department is not required to take the following actions as required by the International Swimming Pool and Spa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 enforcement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application and permitting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 inspection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a plan review program for new construction;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review additions or renovations to existing pools and spas;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conduct construction inspections for new pools and spas or for pools and spas that are renovated or for which additions are made.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214.103(b),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protect the public health, safety, and welfare, the International Swimming Pool and Spa Code, as it existed on May 1, 2019, is adopted as the municipal swimming pool and spa code in this state. </w:t>
      </w:r>
      <w:r>
        <w:rPr>
          <w:u w:val="single"/>
        </w:rPr>
        <w:t xml:space="preserve">A municipality may adopt a more recent version of the International Swimming Pool and Spa Code to apply in the municipality.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