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 Holland, Toth</w:t>
      </w:r>
      <w:r>
        <w:t xml:space="preserve"> </w:t>
      </w:r>
      <w:r xml:space="preserve">
        <w:tab wTab="150" tlc="none" cTlc="0"/>
      </w:r>
      <w:r>
        <w:t xml:space="preserve">H.B.</w:t>
      </w:r>
      <w:r xml:space="preserve">
        <w:t> </w:t>
      </w:r>
      <w:r>
        <w:t xml:space="preserve">No.</w:t>
      </w:r>
      <w:r xml:space="preserve">
        <w:t> </w:t>
      </w:r>
      <w:r>
        <w:t xml:space="preserve">2205</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Schwertner)</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2021; May</w:t>
      </w:r>
      <w:r xml:space="preserve">
        <w:t> </w:t>
      </w:r>
      <w:r>
        <w:t xml:space="preserve">10,</w:t>
      </w:r>
      <w:r xml:space="preserve">
        <w:t> </w:t>
      </w:r>
      <w:r>
        <w:t xml:space="preserve">2021, read first time and referred to Committee on Business &amp; Commerce; May</w:t>
      </w:r>
      <w:r xml:space="preserve">
        <w:t> </w:t>
      </w:r>
      <w:r>
        <w:t xml:space="preserve">21,</w:t>
      </w:r>
      <w:r xml:space="preserve">
        <w:t> </w:t>
      </w:r>
      <w:r>
        <w:t xml:space="preserve">2021, reported adversely, with favorable Committee Substitute by the following vote:</w:t>
      </w:r>
      <w:r>
        <w:t xml:space="preserve"> </w:t>
      </w:r>
      <w:r>
        <w:t xml:space="preserve"> </w:t>
      </w:r>
      <w:r>
        <w:t xml:space="preserve">Yeas</w:t>
      </w:r>
      <w:r xml:space="preserve">
        <w:t> </w:t>
      </w:r>
      <w:r>
        <w:t xml:space="preserve">9, Nays</w:t>
      </w:r>
      <w:r xml:space="preserve">
        <w:t> </w:t>
      </w:r>
      <w:r>
        <w:t xml:space="preserve">0; May</w:t>
      </w:r>
      <w:r xml:space="preserve">
        <w:t> </w:t>
      </w:r>
      <w:r>
        <w:t xml:space="preserve">21,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2205</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applicability of the International Swimming Pool and Spa Code to certain pools, spas, and other swimming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341.0645, Health and Safety Code, is amended by amending Subsection (b) and adding Subsections (c), (d), (e), (f), and (g)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adopt by rule pool safety standards necessary to prevent drowning. The standards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at least as stringent as those imposed under the federal Virginia Graeme Baker Pool and Spa Safety Act (15 U.S.C. Section 8001 et seq.)</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and adopt by reference a version of the International Swimming Pool and Spa Code, as defined by Section 214.103, Local Government Code, that is not older than the version in effect on May 1, 2019, regarding all construction, alteration, renovation, enlargement, and repair of commercial swimming pools and spas</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the department is not required to adopt Chapter 1 of the International Swimming Pool and Spa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does not affect requirements for pool yard enclosure imposed under Chapter 757.</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by rule shall authorize a minor addition, alteration, renovation, or repair to an existing pool or spa and related mechanical, electrical, and plumbing systems in the same manner and arrangement as the executive commissioner authorized the construction of the pool or spa and related mechanical, electrical, and plumbing systems.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use, maintain, and repair a pool or spa that was in compliance with the laws of this state on August 31, 2021, and related mechanical, electrical, and plumbing systems in accordance with the laws applicable to the pool or system on that date.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Subsection (b)(2), this section does not affect the authority of the executive commissioner to adopt rules regarding pool operation and management, water quality, safety standards unrelated to design and construction, signage, and enclosures.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214.103, Local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To protect the public health, safety, and welfare, the International Swimming Pool and Spa Code, as it existed on May 1, 2019, is adopted as the municipal swimming pool and spa code in this state. </w:t>
      </w:r>
      <w:r>
        <w:rPr>
          <w:u w:val="single"/>
        </w:rPr>
        <w:t xml:space="preserve">A municipality may adopt a more recent version of the International Swimming Pool and Spa Code to apply in the municipality.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To the extent a provision of a code adopted by a municipality under Subsection (b) conflicts with a law of this state or a regulation on pool operation and management, water quality, safety standards unrelated to design and construction, signage, or enclosures, the law or regulation controls.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