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87R5177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Uvalde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municipal hotel occupancy tax revenue by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351, Tax Code, is amended by adding Section 351.1069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351.1069.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ALLOCATION OF REVENUE: CERTAIN MUNICIPALITIES.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municipality described by Section 351.1066(a)(6).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chapter and in addition to other authorized uses, a municipality to which this section applies may use all or any portion of the revenue from the municipal hotel occupancy tax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construction and maintenance of a sports facility;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purchase or conversion of a building to serve as a city hall and visitor center.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