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w:t xml:space="preserve"> (Senate Sponsor</w:t>
      </w:r>
      <w:r xml:space="preserve">
        <w:t> </w:t>
      </w:r>
      <w:r>
        <w:t xml:space="preserve">-</w:t>
      </w:r>
      <w:r xml:space="preserve">
        <w:t> </w:t>
      </w:r>
      <w:r>
        <w:t xml:space="preserve">Gutierrez)</w:t>
      </w:r>
      <w:r xml:space="preserve">
        <w:tab wTab="150" tlc="none" cTlc="0"/>
      </w:r>
      <w:r>
        <w:t xml:space="preserve">H.B.</w:t>
      </w:r>
      <w:r xml:space="preserve">
        <w:t> </w:t>
      </w:r>
      <w:r>
        <w:t xml:space="preserve">No.</w:t>
      </w:r>
      <w:r xml:space="preserve">
        <w:t> </w:t>
      </w:r>
      <w:r>
        <w:t xml:space="preserve">2209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Natural Resources &amp; Economic Development;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municipal hotel occupancy tax revenue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351, Tax Code, is amended by adding Section 351.1069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351.1069.</w:t>
      </w:r>
      <w:r>
        <w:rPr>
          <w:u w:val="single"/>
        </w:rPr>
        <w:t xml:space="preserve"> </w:t>
      </w:r>
      <w:r>
        <w:rPr>
          <w:u w:val="single"/>
        </w:rPr>
        <w:t xml:space="preserve"> </w:t>
      </w:r>
      <w:r>
        <w:rPr>
          <w:u w:val="single"/>
        </w:rPr>
        <w:t xml:space="preserve">ALLOCATION OF REVENUE: CERTAIN MUNICIPALITIES.  In addition to other authorized uses, a municipality described by Section 351.1066(a)(6) may use revenue derived from the tax imposed under this chapter to promote tourism by enhancing and upgrading an existing sports facility or field, provided that the municipality complies with Section 351.1076.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351.1076(a), Tax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spends municipal hotel occupancy tax revenue for the enhancement and upgrading of existing sports facilities or fields as authorized by Section 351.101(a)(7) or (n)</w:t>
      </w:r>
      <w:r>
        <w:rPr>
          <w:u w:val="single"/>
        </w:rPr>
        <w:t xml:space="preserve">, Section 351.1069,</w:t>
      </w:r>
      <w:r>
        <w:t xml:space="preserve"> or Section 351.10711:</w:t>
      </w:r>
    </w:p>
    <w:p w:rsidR="003F3435" w:rsidRDefault="0032493E">
      <w:pPr>
        <w:spacing w:line="480" w:lineRule="auto"/>
        <w:ind w:firstLine="1440"/>
        <w:jc w:val="both"/>
      </w:pPr>
      <w:r>
        <w:t xml:space="preserve">(1)</w:t>
      </w:r>
      <w:r xml:space="preserve">
        <w:t> </w:t>
      </w:r>
      <w:r xml:space="preserve">
        <w:t> </w:t>
      </w:r>
      <w:r>
        <w:t xml:space="preserve">shall determine the amount of municipal hotel occupancy tax revenue generated for the municipality by hotel activity attributable to the sports events and tournaments held on the enhanced or upgraded facilities or fields for five years after the date the enhancements and upgrades are completed; and</w:t>
      </w:r>
    </w:p>
    <w:p w:rsidR="003F3435" w:rsidRDefault="0032493E">
      <w:pPr>
        <w:spacing w:line="480" w:lineRule="auto"/>
        <w:ind w:firstLine="1440"/>
        <w:jc w:val="both"/>
      </w:pPr>
      <w:r>
        <w:t xml:space="preserve">(2)</w:t>
      </w:r>
      <w:r xml:space="preserve">
        <w:t> </w:t>
      </w:r>
      <w:r xml:space="preserve">
        <w:t> </w:t>
      </w:r>
      <w:r>
        <w:t xml:space="preserve">may not spend hotel occupancy tax revenue for the enhancement and upgrading of the facilities or fields in a total amount that exceeds the amount of area hotel revenue attributable to the enhancements and upgrades.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