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2213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6,</w:t>
      </w:r>
      <w:r xml:space="preserve">
        <w:t> </w:t>
      </w:r>
      <w:r>
        <w:t xml:space="preserve">2021, read first time and referred to Committee on Water, Agriculture &amp; Rural Affairs; May</w:t>
      </w:r>
      <w:r xml:space="preserve">
        <w:t> </w:t>
      </w:r>
      <w:r>
        <w:t xml:space="preserve">13,</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2213</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slaughter and processing of exotic animals for donation to a nonprofit food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433.006, Health and Safety Code, is amended to read as follows:</w:t>
      </w:r>
    </w:p>
    <w:p w:rsidR="003F3435" w:rsidRDefault="0032493E">
      <w:pPr>
        <w:spacing w:line="480" w:lineRule="auto"/>
        <w:ind w:firstLine="720"/>
        <w:jc w:val="both"/>
      </w:pPr>
      <w:r>
        <w:t xml:space="preserve">Sec.</w:t>
      </w:r>
      <w:r xml:space="preserve">
        <w:t> </w:t>
      </w:r>
      <w:r>
        <w:t xml:space="preserve">433.006.</w:t>
      </w:r>
      <w:r xml:space="preserve">
        <w:t> </w:t>
      </w:r>
      <w:r xml:space="preserve">
        <w:t> </w:t>
      </w:r>
      <w:r>
        <w:rPr>
          <w:u w:val="single"/>
        </w:rPr>
        <w:t xml:space="preserve">EXEMPTION FOR</w:t>
      </w:r>
      <w:r>
        <w:t xml:space="preserve"> PERSONAL USE </w:t>
      </w:r>
      <w:r>
        <w:rPr>
          <w:u w:val="single"/>
        </w:rPr>
        <w:t xml:space="preserve">OR DONATION TO NONPROFIT FOOD BANK</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433.006,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livestock</w:t>
      </w:r>
      <w:r>
        <w:t xml:space="preserve"> exclusively for personal use by the owner of the livestock, a member of the owner's family, or a nonpaying guest of the owner;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exotic animals exclusively for donation by a hunter to a nonprofit food bank, as defined by Section 418.026(a),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w:t>
      </w:r>
      <w:r>
        <w:rPr>
          <w:u w:val="single"/>
        </w:rPr>
        <w:t xml:space="preserve">, the premises where the hunter killed the exotic animal,</w:t>
      </w:r>
      <w:r>
        <w:t xml:space="preserve">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owner's premises and a processing establishment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premises where the hunter killed the exotic animal, the processing establishment, and the nonprofit food bank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article described by Subsection (a)(1)(B) may not be combined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meat food product regulated under the Federal Meat Inspection Act (21 U.S.C. Section 601 et seq.);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poultry product regulated under the federal Poultry Products Inspection Act (21 U.S.C. Section 451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433.006 relating to </w:t>
      </w:r>
      <w:r>
        <w:rPr>
          <w:u w:val="single"/>
        </w:rPr>
        <w:t xml:space="preserve">exemptions</w:t>
      </w:r>
      <w:r>
        <w:t xml:space="preserve"> [</w:t>
      </w:r>
      <w:r>
        <w:rPr>
          <w:strike/>
        </w:rPr>
        <w:t xml:space="preserve">personal use exemption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