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87R4963 ANG-F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Hefner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2214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expiration of a school marshal license issued or renewed by the Texas Commission on Law Enforcement.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1701.260(g),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A person's license under this section expires on </w:t>
      </w:r>
      <w:r>
        <w:rPr>
          <w:u w:val="single"/>
        </w:rPr>
        <w:t xml:space="preserve">August 31 following</w:t>
      </w:r>
      <w:r>
        <w:t xml:space="preserve"> [</w:t>
      </w:r>
      <w:r>
        <w:rPr>
          <w:strike/>
        </w:rPr>
        <w:t xml:space="preserve">the first birthday of the person occurring after</w:t>
      </w:r>
      <w:r>
        <w:t xml:space="preserve">] the second anniversary of the date the commission licenses the person. A renewed school marshal license expires on </w:t>
      </w:r>
      <w:r>
        <w:rPr>
          <w:u w:val="single"/>
        </w:rPr>
        <w:t xml:space="preserve">August 31</w:t>
      </w:r>
      <w:r>
        <w:t xml:space="preserve"> [</w:t>
      </w:r>
      <w:r>
        <w:rPr>
          <w:strike/>
        </w:rPr>
        <w:t xml:space="preserve">the person's birth date</w:t>
      </w:r>
      <w:r>
        <w:t xml:space="preserve">], two years after the expiration of the previous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1701.260(g), Occupations Code, as amended by this Act, applies to a license issued or renewed under that section regardless of whether the license was issued or renewed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2214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