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87R13631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2219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2219:</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C.S.H.B.</w:t>
      </w:r>
      <w:r xml:space="preserve">
        <w:t> </w:t>
      </w:r>
      <w:r>
        <w:t xml:space="preserve">No.</w:t>
      </w:r>
      <w:r xml:space="preserve">
        <w:t> </w:t>
      </w:r>
      <w:r>
        <w:t xml:space="preserve">2219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Texas Mobility Fund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201.943(a),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(e), (f), </w:t>
      </w:r>
      <w:r>
        <w:rPr>
          <w:u w:val="single"/>
        </w:rPr>
        <w:t xml:space="preserve">and</w:t>
      </w:r>
      <w:r>
        <w:t xml:space="preserve"> (g), [</w:t>
      </w:r>
      <w:r>
        <w:rPr>
          <w:strike/>
        </w:rPr>
        <w:t xml:space="preserve">and (l),</w:t>
      </w:r>
      <w:r>
        <w:t xml:space="preserve">] the commission by order or resolution may issue obligations in the name and on behalf of the state and the department and may enter into credit agreements related to the obligations. The obligations may be issued in multiple series and issues from time to time in an aggregate amount not exceeding the maximum obligation amount.  The obligations may be issued on and may have the terms and provisions the commission determines appropriate and in the interests of the state.  The obligations may be issued as long-term obligations, short-term obligations, or both. The latest scheduled maturity of an issue or series of obligations may not exceed 30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201.943(l),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