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87R5913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Department of Transportation on future transportation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"department" means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STUDY.  (a)  The department, in consultation with the Texas A&amp;M Transportation Institute, shall conduct a study on the state's projected transportation needs, costs, and the resulting benefits of meeting those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 models from the state's metropolitan planning organizations and rural planning efforts to capture regional and local transportation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incorporate current, high quality vehicle-based data sources to analyze changing travel patterns and behaviors;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develop a forecast for alternative levels of mobility and infrastructure performance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highway maintenance;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urban mobility;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rural connectivity;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develop a range of future state transportation performance and infrastructure condition goals for the period covered by the study;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develop and evaluate potential scenarios to account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innovations in vehicle technologies;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changes in travel behavior;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changes in workplace policies;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strategies for innovative project design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evaluate current funding levels and dedicated funding streams, including anticipated funds transferred to the state highway fund under Section 49-g, Article III, Texas Constitution, or deposited to that fund under Section 7-c, Article VIII, Texas Constitution, to quantify the gap between likely funding and the amount required to meet a range of performance conditions;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identify strategies and funding options to fill any gaps in transportation needs;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overlay information in the 2030 Committee's 2011 report analysis for the period from 2010 to 2035 to compare the funding landscape and performance expectations in 2011 with the current outlook.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COMMITTEE.  The Texas Transportation Commission shall appoint a committee composed of experienced and respected business and community leaders in this state to provide guidance and direction to the department and the Texas A&amp;M Transportation Institute for purposes of conducting the study required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 Not later than December 1, 2022, the Texas Department of Transportation shall submit a report to the legislature that includes the results of the study conducted under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