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87R5913 CXP-D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Department of Transportation on future transportation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DEFINITION.  In this Act, "department" means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STUDY.  (a)  The department, in consultation with the Texas A&amp;M Transportation Institute, shall conduct a study on the state's projected transportation needs, costs, and the resulting benefits of meeting those needs for the year 2045.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 models from the state's metropolitan planning organizations and rural planning efforts to capture regional and local transportation needs;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incorporate current, high quality vehicle-based data sources to analyze changing travel patterns and behaviors;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develop a forecast for alternative levels of mobility and infrastructure performance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highway maintenance;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urban mobility;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rural connectivity;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develop a range of future state transportation performance and infrastructure condition goals for the period covered by the study;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develop and evaluate potential scenarios to account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innovations in vehicle technologies;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changes in travel behavior;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changes in workplace policies;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strategies for innovative project design and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evaluate current funding levels and dedicated funding streams, including anticipated funds transferred to the state highway fund under Section 49-g, Article III, Texas Constitution, or deposited to that fund under Section 7-c, Article VIII, Texas Constitution, to quantify the gap between likely funding and the amount required to meet a range of performance conditions;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identify strategies and funding options to fill any gaps in transportation needs;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overlay information in the 2030 Committee's 2011 report analysis for the period from 2010 to 2035 to compare the funding landscape and performance expectations in 2011 with the current outlook.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COMMITTEE.  The Texas Transportation Commission shall appoint a committee composed of experienced and respected business and community leaders in this state to provide guidance and direction to the department and the Texas A&amp;M Transportation Institute for purposes of conducting the study required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REPORT TO LEGISLATURE.  Not later than December 1, 2022, the Texas Department of Transportation shall submit a report to the legislature that includes the results of the study conducted under this Act and any associated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