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87R5683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incorporating fine arts into the foundation curriculum for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ON FINE ARTS AS FOUNDATION CURRICULUM COURSE.  (a) </w:t>
      </w:r>
      <w:r>
        <w:t xml:space="preserve"> </w:t>
      </w:r>
      <w:r>
        <w:t xml:space="preserve">The commissioner of education shall establish a task force to study the utility, efficacy, and feasibility of incorporating fine arts into the foundation curriculum under Section 28.002(a)(1), Education Code, in public schools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of education shall appoint members of the task force. </w:t>
      </w:r>
      <w:r>
        <w:t xml:space="preserve"> </w:t>
      </w:r>
      <w:r>
        <w:t xml:space="preserve">The task force must include at least: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fine arts public school educator;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fine arts public school administrator;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principal at a fine arts-integrated public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representative from the State Board of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representative from a fine arts advocacy nonprofit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parent of or person standing in parental relation to a public school student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task force shall prepare a written report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activities of the task 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analysis of incorporating fine arts into the foundation curriculum, including the impact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curriculum decisions at the district and campus level, including evaluating the number of fine arts course offerings available to students;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need for infrastructure support, including additional administrative leadership, to incorporate fine arts into the foundation curriculum and ensure the fidelity of curriculum implementation;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educator staffing, training, and certifications needed at the district and campus level to facilitate effective teaching of the essential knowledge and skills for fine arts at each grade level;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funding and budgetary resources at the district and campus level needed to support educator staffing, professional development, classroom resources, assessment implementation, and administrative support for the fine arts curriculum;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student academic achievement at campuses at which fine arts is treated as a foundation subject, including evaluating academic achievement for fine arts magnet schools and academies and fine arts-integrated campuses;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college and career readiness of public school students;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accountability for fine arts courses taught in public schools;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recommendations for legislative or other action;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matters the task force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September 1, 2022, the task force shall submit the written report to the governor, lieutenant governor, legislature, and commissioner of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