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disbursement of funds from a trust fund account by a title insurance company, title insurance agent, or escrow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2651.202,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United States dollars received and deposited in an account through an Automated Clearing House (ACH) transaction if the ACH transaction is irrevocable and final and cannot be canceled or reversed by the customer once the funds have been directly transferred from the customer's bank account.  The ACH transaction must be a bank-to-bank transfer of funds or a deposit of funds from a customer's account at a depository institution and must not be treated as a consumer payment with respect to chargeback and pullback consumer payment protections.  The transferred funds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linked to and backed by funds in the customer's account at the depository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transferred from the customer's bank account and deposited into the settlement service provider's escrow account by ACH transfer in accordance with the standards of any governing body with oversight over ACH transactions.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2652.004,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United</w:t>
      </w:r>
      <w:r>
        <w:rPr>
          <w:u w:val="single"/>
        </w:rPr>
        <w:t xml:space="preserve"> States dollars received and deposited in an account through an Automated Clearing House (ACH) transaction if the ACH transaction is irrevocable and final and cannot be canceled or reversed by the customer once the funds have been directly transferred from the customer's bank account.  The ACH transaction must be a bank-to-bank transfer of funds or a deposit of funds from a customer's account at a depository institution and must not be treated as a consumer payment with respect to chargeback and pullback consumer payment protections.  The transferred funds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linked to and backed by funds in the customer's account at the depository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transferred from the customer's bank account and deposited into the settlement service provider's escrow account by ACH transfer in accordance with the standards of any governing body with oversight over ACH transactions.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